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5.png" ContentType="image/png"/>
  <Override PartName="/word/media/rId64.png" ContentType="image/png"/>
  <Override PartName="/word/media/rId61.png" ContentType="image/png"/>
  <Override PartName="/word/media/rId42.png" ContentType="image/png"/>
  <Override PartName="/word/media/rId52.png" ContentType="image/png"/>
  <Override PartName="/word/media/rId71.png" ContentType="image/png"/>
  <Override PartName="/word/media/rId68.png" ContentType="image/png"/>
  <Override PartName="/word/media/rId74.png" ContentType="image/png"/>
  <Override PartName="/word/media/rId90.png" ContentType="image/png"/>
  <Override PartName="/word/media/rId87.png" ContentType="image/png"/>
  <Override PartName="/word/media/rId84.png" ContentType="image/png"/>
  <Override PartName="/word/media/rId49.png" ContentType="image/png"/>
  <Override PartName="/word/media/rId55.png" ContentType="image/png"/>
  <Override PartName="/word/media/rId7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2025-07-16</w:t>
      </w:r>
    </w:p>
    <w:bookmarkStart w:id="108" w:name="supplemental-methods"/>
    <w:p>
      <w:pPr>
        <w:pStyle w:val="Heading1"/>
      </w:pPr>
      <w:r>
        <w:t xml:space="preserve">Supplemental methods</w:t>
      </w:r>
    </w:p>
    <w:bookmarkStart w:id="41" w:name="mathematical-model"/>
    <w:p>
      <w:pPr>
        <w:pStyle w:val="Heading2"/>
      </w:pPr>
      <w:r>
        <w:t xml:space="preserve">Mathematical model</w:t>
      </w:r>
    </w:p>
    <w:p>
      <w:pPr>
        <w:pStyle w:val="FirstParagraph"/>
      </w:pPr>
      <w:r>
        <w:t xml:space="preserve">Our approach is based on the reference model for the COVID-19 hospitalisation nowcast challenge in Germany in 2021 and 2022</w:t>
      </w:r>
      <w:r>
        <w:t xml:space="preserve"> </w:t>
      </w:r>
      <w:r>
        <w:t xml:space="preserve">(1)</w:t>
      </w:r>
      <w:r>
        <w:t xml:space="preserve">. In slight variation of the chain ladder method</w:t>
      </w:r>
      <w:r>
        <w:t xml:space="preserve"> </w:t>
      </w:r>
      <w:r>
        <w:t xml:space="preserve">(2)</w:t>
      </w:r>
      <w:r>
        <w:t xml:space="preserve">, it uses preliminary case counts and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 In our description we assume that time steps correspond to days, but they could also be weeks, months or any other unit.</w:t>
      </w:r>
    </w:p>
    <w:p>
      <w:pPr>
        <w:pStyle w:val="BodyText"/>
      </w:pPr>
      <w:r>
        <w:t xml:space="preserve">See the</w:t>
      </w:r>
      <w:r>
        <w:t xml:space="preserve"> </w:t>
      </w:r>
      <w:r>
        <w:rPr>
          <w:i/>
          <w:iCs/>
        </w:rPr>
        <w:t xml:space="preserve">Default Settings</w:t>
      </w:r>
      <w:r>
        <w:t xml:space="preserve"> </w:t>
      </w:r>
      <w:r>
        <w:t xml:space="preserve">section in the main text methods for a description of the default behaviour of the method within the</w:t>
      </w:r>
      <w:r>
        <w:t xml:space="preserve"> </w:t>
      </w:r>
      <w:r>
        <w:rPr>
          <w:rStyle w:val="VerbatimChar"/>
        </w:rPr>
        <w:t xml:space="preserve">baselinenowcast</w:t>
      </w:r>
      <w:r>
        <w:t xml:space="preserve"> </w:t>
      </w:r>
      <w:r>
        <w:t xml:space="preserve">package.</w:t>
      </w:r>
    </w:p>
    <w:bookmarkStart w:id="21" w:name="notation"/>
    <w:p>
      <w:pPr>
        <w:pStyle w:val="Heading3"/>
      </w:pPr>
      <w:r>
        <w:t xml:space="preserve">Notation</w:t>
      </w:r>
    </w:p>
    <w:p>
      <w:pPr>
        <w:pStyle w:val="FirstParagraph"/>
      </w:pPr>
      <w:r>
        <w:t xml:space="preserve">We denote by</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the number of cases occurring on day</w:t>
      </w:r>
      <w:r>
        <w:t xml:space="preserve"> </w:t>
      </w:r>
      <m:oMath>
        <m:r>
          <m:t>t</m:t>
        </m:r>
      </m:oMath>
      <w:r>
        <w:t xml:space="preserve"> </w:t>
      </w:r>
      <w:r>
        <w:t xml:space="preserve">which appear in the dataset with a delay of</w:t>
      </w:r>
      <w:r>
        <w:t xml:space="preserve"> </w:t>
      </w:r>
      <m:oMath>
        <m:r>
          <m:t>d</m:t>
        </m:r>
      </m:oMath>
      <w:r>
        <w:t xml:space="preserve"> </w:t>
      </w:r>
      <w:r>
        <w:t xml:space="preserve">days.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We only consider cases reported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w:bookmarkStart w:id="20" w:name="eq-Xltd"/>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t>  </m:t>
          </m:r>
          <m:d>
            <m:dPr>
              <m:begChr m:val="("/>
              <m:endChr m:val=")"/>
              <m:sepChr m:val=""/>
              <m:grow/>
            </m:dPr>
            <m:e>
              <m:r>
                <m:t>1</m:t>
              </m:r>
            </m:e>
          </m:d>
        </m:oMath>
      </m:oMathPara>
      <w:bookmarkEnd w:id="20"/>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 denoted by</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rPr>
              <m:sty m:val="p"/>
            </m:rPr>
            <m:t>.</m:t>
          </m:r>
        </m:oMath>
      </m:oMathPara>
    </w:p>
    <w:p>
      <w:pPr>
        <w:pStyle w:val="FirstParagraph"/>
      </w:pPr>
      <w:r>
        <w:t xml:space="preserve">For delays</w:t>
      </w:r>
      <w:r>
        <w:t xml:space="preserve"> </w:t>
      </w:r>
      <m:oMath>
        <m:r>
          <m:t>d</m:t>
        </m:r>
        <m:r>
          <m:rPr>
            <m:sty m:val="p"/>
          </m:rPr>
          <m:t>&lt;</m:t>
        </m:r>
        <m:r>
          <m:t>D</m:t>
        </m:r>
      </m:oMath>
      <w:r>
        <w:t xml:space="preserve"> </w:t>
      </w:r>
      <w:r>
        <w:t xml:space="preserve">we moreover define the notation</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days of delay. In the following we use uppercase letters (</w:t>
      </w:r>
      <m:oMath>
        <m:sSub>
          <m:e>
            <m:r>
              <m:t>X</m:t>
            </m:r>
          </m:e>
          <m:sub>
            <m:r>
              <m:t>t</m:t>
            </m:r>
          </m:sub>
        </m:sSub>
      </m:oMath>
      <w:r>
        <w:t xml:space="preserve">) for random variables, lower case (</w:t>
      </w:r>
      <m:oMath>
        <m:sSub>
          <m:e>
            <m:r>
              <m:t>x</m:t>
            </m:r>
          </m:e>
          <m:sub>
            <m:r>
              <m:t>t</m:t>
            </m:r>
          </m:sub>
        </m:sSub>
      </m:oMath>
      <w:r>
        <w:t xml:space="preserve">) for the corresponding observations, and hats (</w:t>
      </w:r>
      <m:oMath>
        <m:sSub>
          <m:e>
            <m:acc>
              <m:accPr>
                <m:chr m:val="̂"/>
              </m:accPr>
              <m:e>
                <m:r>
                  <m:t>x</m:t>
                </m:r>
              </m:e>
            </m:acc>
          </m:e>
          <m:sub>
            <m:r>
              <m:t>t</m:t>
            </m:r>
          </m:sub>
        </m:sSub>
      </m:oMath>
      <w:r>
        <w:t xml:space="preserve">) for estimated / imputed values. The matrix</w:t>
      </w:r>
      <w:r>
        <w:t xml:space="preserve"> </w:t>
      </w:r>
      <m:oMath>
        <m:r>
          <m:rPr>
            <m:sty m:val="b"/>
          </m:rPr>
          <m:t>x</m:t>
        </m:r>
      </m:oMath>
      <w:r>
        <w:t xml:space="preserve"> </w:t>
      </w:r>
      <w:r>
        <w:t xml:space="preserve">with entries</w:t>
      </w:r>
      <w:r>
        <w:t xml:space="preserve"> </w:t>
      </w:r>
      <m:oMath>
        <m:sSub>
          <m:e>
            <m:r>
              <m:t>x</m:t>
            </m:r>
          </m:e>
          <m:sub>
            <m:r>
              <m:t>t</m:t>
            </m:r>
            <m:r>
              <m:rPr>
                <m:sty m:val="p"/>
              </m:rPr>
              <m:t>,</m:t>
            </m:r>
            <m:r>
              <m:t>d</m:t>
            </m:r>
          </m:sub>
        </m:sSub>
        <m:r>
          <m:rPr>
            <m:sty m:val="p"/>
          </m:rPr>
          <m:t>,</m:t>
        </m:r>
        <m:r>
          <m:t>t</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r>
          <m:t>D</m:t>
        </m:r>
      </m:oMath>
      <w:r>
        <w:t xml:space="preserve"> </w:t>
      </w:r>
      <w:r>
        <w:t xml:space="preserve">is referred to as the</w:t>
      </w:r>
      <w:r>
        <w:t xml:space="preserve"> </w:t>
      </w:r>
      <w:r>
        <w:rPr>
          <w:i/>
          <w:iCs/>
        </w:rPr>
        <w:t xml:space="preserve">reporting matrix</w:t>
      </w:r>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2</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D</m:t>
                  </m:r>
                </m:sub>
              </m:sSub>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p>
      <w:pPr>
        <w:pStyle w:val="BodyText"/>
      </w:pPr>
      <w:r>
        <w:t xml:space="preserve">In the case where</w:t>
      </w:r>
      <w:r>
        <w:t xml:space="preserve"> </w:t>
      </w:r>
      <m:oMath>
        <m:sSup>
          <m:e>
            <m:r>
              <m:t>t</m:t>
            </m:r>
          </m:e>
          <m:sup>
            <m:r>
              <m:rPr>
                <m:sty m:val="p"/>
              </m:rPr>
              <m:t>*</m:t>
            </m:r>
          </m:sup>
        </m:sSup>
      </m:oMath>
      <w:r>
        <w:t xml:space="preserve"> </w:t>
      </w:r>
      <w:r>
        <w:t xml:space="preserve">corresponds to the present date, all entries with</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and are thus still missing. As the available entries at its bottom form a triangle, this incomplete reporting matrix is referred to as the</w:t>
      </w:r>
      <w:r>
        <w:t xml:space="preserve"> </w:t>
      </w:r>
      <w:r>
        <w:rPr>
          <w:i/>
          <w:iCs/>
        </w:rPr>
        <w:t xml:space="preserve">reporting triangle</w:t>
      </w:r>
      <w:r>
        <w:t xml:space="preserve">.</w:t>
      </w:r>
    </w:p>
    <w:tbl>
      <w:tblPr>
        <w:tblStyle w:val="Table"/>
        <w:tblW w:type="pct" w:w="5000"/>
        <w:tblLayout w:type="fixed"/>
        <w:tblLook w:firstRow="0" w:lastRow="0" w:firstColumn="0" w:lastColumn="0" w:noHBand="0" w:noVBand="0" w:val="0000"/>
      </w:tblPr>
      <w:tblGrid>
        <w:gridCol w:w="1193"/>
        <w:gridCol w:w="1627"/>
        <w:gridCol w:w="1627"/>
        <w:gridCol w:w="1627"/>
        <w:gridCol w:w="759"/>
        <w:gridCol w:w="542"/>
        <w:gridCol w:w="542"/>
      </w:tblGrid>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pPr>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bl>
    <w:bookmarkEnd w:id="21"/>
    <w:bookmarkStart w:id="22" w:name="preprocessing"/>
    <w:p>
      <w:pPr>
        <w:pStyle w:val="Heading3"/>
      </w:pPr>
      <w:r>
        <w:t xml:space="preserve">Pre-processing of the reporting triangle</w:t>
      </w:r>
    </w:p>
    <w:p>
      <w:pPr>
        <w:pStyle w:val="FirstParagraph"/>
      </w:pPr>
      <w:r>
        <w:t xml:space="preserve">All of the following steps require that the reporting triangle only has non-negative entries. In practice this is not necessarily the case. For instance, if the reporting triangle has been computed from increments in subsequent data snapshots, occasional downward corrections due to data entrance issues can cause negative entries. We therefore apply a pre-processing step to re-distribute negative entries across neighbouring cells with positive entries.</w:t>
      </w:r>
    </w:p>
    <w:bookmarkEnd w:id="22"/>
    <w:bookmarkStart w:id="28" w:name="delay-distribution-estimation"/>
    <w:p>
      <w:pPr>
        <w:pStyle w:val="Heading3"/>
      </w:pPr>
      <w:r>
        <w:t xml:space="preserve">Delay distribution estimation</w:t>
      </w:r>
    </w:p>
    <w:p>
      <w:pPr>
        <w:pStyle w:val="FirstParagraph"/>
      </w:pPr>
      <w:r>
        <w:t xml:space="preserve">In this section we detail how we estimate the reporting delay distribution based on the last</w:t>
      </w:r>
      <w:r>
        <w:t xml:space="preserve"> </w:t>
      </w:r>
      <m:oMath>
        <m:r>
          <m:t>N</m:t>
        </m:r>
      </m:oMath>
      <w:r>
        <w:t xml:space="preserve"> </w:t>
      </w:r>
      <w:r>
        <w:t xml:space="preserve">rows of a reporting matrix or triangle. See the Methods: Overview section in the main text for more details on the package default for the number of reference times used for delay estimation.</w:t>
      </w:r>
    </w:p>
    <w:bookmarkStart w:id="24" w:name="X42116272264c92ce183bf653789c94c0abb616c"/>
    <w:p>
      <w:pPr>
        <w:pStyle w:val="Heading4"/>
      </w:pPr>
      <w:r>
        <w:t xml:space="preserve">Estimating the delay distribution from a reporting matrix</w:t>
      </w:r>
    </w:p>
    <w:p>
      <w:pPr>
        <w:pStyle w:val="FirstParagraph"/>
      </w:pPr>
      <w:r>
        <w:t xml:space="preserve">If a complete reporting matrix is available, estimating the discrete-time delay distribution</w:t>
      </w:r>
      <w:r>
        <w:t xml:space="preserve"> </w:t>
      </w:r>
      <m:oMath>
        <m:sSub>
          <m:e>
            <m:r>
              <m:t>π</m:t>
            </m:r>
          </m:e>
          <m:sub>
            <m:r>
              <m:t>d</m:t>
            </m:r>
          </m:sub>
        </m:sSub>
        <m:r>
          <m:rPr>
            <m:sty m:val="p"/>
          </m:rPr>
          <m:t>,</m:t>
        </m:r>
        <m:r>
          <m:t>d</m:t>
        </m:r>
        <m:r>
          <m:rPr>
            <m:sty m:val="p"/>
          </m:rPr>
          <m:t>=</m:t>
        </m:r>
        <m:r>
          <m:t>0</m:t>
        </m:r>
        <m:r>
          <m:rPr>
            <m:sty m:val="p"/>
          </m:rPr>
          <m:t>,</m:t>
        </m:r>
        <m:r>
          <m:rPr>
            <m:sty m:val="p"/>
          </m:rPr>
          <m:t>…</m:t>
        </m:r>
        <m:r>
          <m:rPr>
            <m:sty m:val="p"/>
          </m:rPr>
          <m:t>,</m:t>
        </m:r>
        <m:r>
          <m:t>D</m:t>
        </m:r>
      </m:oMath>
      <w:r>
        <w:t xml:space="preserve"> </w:t>
      </w:r>
      <w:r>
        <w:t xml:space="preserve">is straightforward. Using the last</w:t>
      </w:r>
      <w:r>
        <w:t xml:space="preserve"> </w:t>
      </w:r>
      <m:oMath>
        <m:r>
          <m:t>N</m:t>
        </m:r>
      </m:oMath>
      <w:r>
        <w:t xml:space="preserve"> </w:t>
      </w:r>
      <w:r>
        <w:t xml:space="preserve">rows of the reporting matrix</w:t>
      </w:r>
      <w:r>
        <w:t xml:space="preserve"> </w:t>
      </w:r>
      <m:oMath>
        <m:r>
          <m:rPr>
            <m:sty m:val="b"/>
          </m:rPr>
          <m:t>x</m:t>
        </m:r>
      </m:oMath>
      <w:r>
        <w:t xml:space="preserve">, we compute</w:t>
      </w:r>
    </w:p>
    <w:p>
      <w:pPr>
        <w:pStyle w:val="BodyText"/>
      </w:pPr>
      <w:bookmarkStart w:id="23" w:name="eq-pi_d"/>
      <m:oMathPara>
        <m:oMathParaPr>
          <m:jc m:val="center"/>
        </m:oMathParaPr>
        <m:oMath>
          <m:sSub>
            <m:e>
              <m:acc>
                <m:accPr>
                  <m:chr m:val="̂"/>
                </m:accPr>
                <m:e>
                  <m:r>
                    <m:t>π</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sub>
                  </m:sSub>
                </m:e>
              </m:nary>
            </m:den>
          </m:f>
          <m:r>
            <m:rPr>
              <m:sty m:val="p"/>
            </m:rPr>
            <m:t>,</m:t>
          </m:r>
          <m:r>
            <m:t>  </m:t>
          </m:r>
          <m:d>
            <m:dPr>
              <m:begChr m:val="("/>
              <m:endChr m:val=")"/>
              <m:sepChr m:val=""/>
              <m:grow/>
            </m:dPr>
            <m:e>
              <m:r>
                <m:t>2</m:t>
              </m:r>
            </m:e>
          </m:d>
        </m:oMath>
      </m:oMathPara>
      <w:bookmarkEnd w:id="23"/>
    </w:p>
    <w:p>
      <w:pPr>
        <w:pStyle w:val="FirstParagraph"/>
      </w:pPr>
      <w:r>
        <w:t xml:space="preserve">which is simply the relative frequency of a delay of</w:t>
      </w:r>
      <w:r>
        <w:t xml:space="preserve"> </w:t>
      </w:r>
      <m:oMath>
        <m:r>
          <m:t>d</m:t>
        </m:r>
      </m:oMath>
      <w:r>
        <w:t xml:space="preserve"> </w:t>
      </w:r>
      <w:r>
        <w:t xml:space="preserve">days among all cases in the reporting matrix.</w:t>
      </w:r>
    </w:p>
    <w:bookmarkEnd w:id="24"/>
    <w:bookmarkStart w:id="27" w:name="X61a0a50d867388733148639f033a2b3530e9d00"/>
    <w:p>
      <w:pPr>
        <w:pStyle w:val="Heading4"/>
      </w:pPr>
      <w:r>
        <w:t xml:space="preserve">Estimating the delay from a reporting triangle</w:t>
      </w:r>
    </w:p>
    <w:p>
      <w:pPr>
        <w:pStyle w:val="FirstParagraph"/>
      </w:pPr>
      <w:r>
        <w:t xml:space="preserve">In the case where</w:t>
      </w:r>
      <w:r>
        <w:t xml:space="preserve"> </w:t>
      </w:r>
      <m:oMath>
        <m:sSup>
          <m:e>
            <m:r>
              <m:t>t</m:t>
            </m:r>
          </m:e>
          <m:sup>
            <m:r>
              <m:rPr>
                <m:sty m:val="p"/>
              </m:rPr>
              <m:t>*</m:t>
            </m:r>
          </m:sup>
        </m:sSup>
      </m:oMath>
      <w:r>
        <w:t xml:space="preserve"> </w:t>
      </w:r>
      <w:r>
        <w:t xml:space="preserve">is the present day, such that only a reporting triangle with missing entries is available, the estimator</w:t>
      </w:r>
      <w:r>
        <w:t xml:space="preserve"> </w:t>
      </w:r>
      <m:oMath>
        <m:sSub>
          <m:e>
            <m:acc>
              <m:accPr>
                <m:chr m:val="̂"/>
              </m:accPr>
              <m:e>
                <m:r>
                  <m:t>π</m:t>
                </m:r>
              </m:e>
            </m:acc>
          </m:e>
          <m:sub>
            <m:r>
              <m:t>d</m:t>
            </m:r>
          </m:sub>
        </m:sSub>
      </m:oMath>
      <w:r>
        <w:t xml:space="preserve"> </w:t>
      </w:r>
      <w:r>
        <w:t xml:space="preserve">from</w:t>
      </w:r>
      <w:r>
        <w:t xml:space="preserve"> </w:t>
      </w:r>
      <w:hyperlink w:anchor="eq-pi_d">
        <w:r>
          <w:rPr>
            <w:rStyle w:val="Hyperlink"/>
          </w:rPr>
          <w:t xml:space="preserve">Equation 2</w:t>
        </w:r>
      </w:hyperlink>
      <w:r>
        <w:t xml:space="preserve"> </w:t>
      </w:r>
      <w:r>
        <w:t xml:space="preserve">can only be evaluated after discarding all data from the last</w:t>
      </w:r>
      <w:r>
        <w:t xml:space="preserve"> </w:t>
      </w:r>
      <m:oMath>
        <m:r>
          <m:t>D</m:t>
        </m:r>
        <m:r>
          <m:rPr>
            <m:sty m:val="p"/>
          </m:rPr>
          <m:t>−</m:t>
        </m:r>
        <m:r>
          <m:t>1</m:t>
        </m:r>
      </m:oMath>
      <w:r>
        <w:t xml:space="preserve"> </w:t>
      </w:r>
      <w:r>
        <w:t xml:space="preserve">time points. In order to use these partial observations, we use a different representation of the delay distribution via terms of the form</w:t>
      </w:r>
    </w:p>
    <w:p>
      <w:pPr>
        <w:pStyle w:val="BodyText"/>
      </w:pPr>
      <w:bookmarkStart w:id="25" w:name="eq-theta_d"/>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r>
            <m:t>  </m:t>
          </m:r>
          <m:d>
            <m:dPr>
              <m:begChr m:val="("/>
              <m:endChr m:val=")"/>
              <m:sepChr m:val=""/>
              <m:grow/>
            </m:dPr>
            <m:e>
              <m:r>
                <m:t>3</m:t>
              </m:r>
            </m:e>
          </m:d>
        </m:oMath>
      </m:oMathPara>
      <w:bookmarkEnd w:id="25"/>
    </w:p>
    <w:p>
      <w:pPr>
        <w:pStyle w:val="FirstParagraph"/>
      </w:pPr>
      <w:r>
        <w:t xml:space="preserve">for</w:t>
      </w:r>
      <w:r>
        <w:t xml:space="preserve"> </w:t>
      </w:r>
      <m:oMath>
        <m:r>
          <m:t>d</m:t>
        </m:r>
        <m:r>
          <m:rPr>
            <m:sty m:val="p"/>
          </m:rPr>
          <m:t>=</m:t>
        </m:r>
        <m:r>
          <m:t>1</m:t>
        </m:r>
        <m:r>
          <m:rPr>
            <m:sty m:val="p"/>
          </m:rPr>
          <m:t>,</m:t>
        </m:r>
        <m:r>
          <m:rPr>
            <m:sty m:val="p"/>
          </m:rPr>
          <m:t>…</m:t>
        </m:r>
        <m:r>
          <m:rPr>
            <m:sty m:val="p"/>
          </m:rPr>
          <m:t>,</m:t>
        </m:r>
        <m:r>
          <m:t>D</m:t>
        </m:r>
      </m:oMath>
      <w:r>
        <w:t xml:space="preserve">. Here, in analogy to</w:t>
      </w:r>
      <w:r>
        <w:t xml:space="preserve"> </w:t>
      </w:r>
      <w:hyperlink w:anchor="eq-Xltd">
        <w:r>
          <w:rPr>
            <w:rStyle w:val="Hyperlink"/>
          </w:rPr>
          <w:t xml:space="preserve">Equation 1</w:t>
        </w:r>
      </w:hyperlink>
      <w:r>
        <w:t xml:space="preserve"> </w:t>
      </w:r>
      <w:r>
        <w:t xml:space="preserve">we write</w:t>
      </w:r>
    </w:p>
    <w:p>
      <w:pPr>
        <w:pStyle w:val="BodyText"/>
      </w:pPr>
      <w:bookmarkStart w:id="26" w:name="eq-pi_less_than_d"/>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r>
            <m:rPr>
              <m:sty m:val="p"/>
            </m:rPr>
            <m:t>.</m:t>
          </m:r>
          <m:r>
            <m:t>  </m:t>
          </m:r>
          <m:d>
            <m:dPr>
              <m:begChr m:val="("/>
              <m:endChr m:val=")"/>
              <m:sepChr m:val=""/>
              <m:grow/>
            </m:dPr>
            <m:e>
              <m:r>
                <m:t>4</m:t>
              </m:r>
            </m:e>
          </m:d>
        </m:oMath>
      </m:oMathPara>
      <w:bookmarkEnd w:id="26"/>
    </w:p>
    <w:p>
      <w:pPr>
        <w:pStyle w:val="FirstParagraph"/>
      </w:pPr>
      <w:r>
        <w:t xml:space="preserve">The</w:t>
      </w:r>
      <w:r>
        <w:t xml:space="preserve"> </w:t>
      </w:r>
      <m:oMath>
        <m:sSub>
          <m:e>
            <m:r>
              <m:t>θ</m:t>
            </m:r>
          </m:e>
          <m:sub>
            <m:r>
              <m:t>d</m:t>
            </m:r>
          </m:sub>
        </m:sSub>
      </m:oMath>
      <w:r>
        <w:t xml:space="preserve"> </w:t>
      </w:r>
      <w:r>
        <w:t xml:space="preserve">can be estimated via</w:t>
      </w:r>
    </w:p>
    <w:p>
      <w:pPr>
        <w:pStyle w:val="BodyText"/>
      </w:pPr>
      <m:oMathPara>
        <m:oMathParaPr>
          <m:jc m:val="center"/>
        </m:oMathParaPr>
        <m:oMath>
          <m:sSub>
            <m:e>
              <m:acc>
                <m:accPr>
                  <m:chr m:val="̂"/>
                </m:accPr>
                <m:e>
                  <m:r>
                    <m:t>θ</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rPr>
                          <m:sty m:val="p"/>
                        </m:rPr>
                        <m:t>≤</m:t>
                      </m:r>
                      <m:r>
                        <m:t>d</m:t>
                      </m:r>
                      <m:r>
                        <m:rPr>
                          <m:sty m:val="p"/>
                        </m:rPr>
                        <m:t>−</m:t>
                      </m:r>
                      <m:r>
                        <m:t>1</m:t>
                      </m:r>
                    </m:sub>
                  </m:sSub>
                </m:e>
              </m:nary>
            </m:den>
          </m:f>
          <m:r>
            <m:rPr>
              <m:sty m:val="p"/>
            </m:rPr>
            <m:t>,</m:t>
          </m:r>
        </m:oMath>
      </m:oMathPara>
    </w:p>
    <w:p>
      <w:pPr>
        <w:pStyle w:val="FirstParagraph"/>
      </w:pPr>
      <w:r>
        <w:t xml:space="preserve">and translated to estimates</w:t>
      </w:r>
      <w:r>
        <w:t xml:space="preserve"> </w:t>
      </w:r>
      <m:oMath>
        <m:sSub>
          <m:e>
            <m:acc>
              <m:accPr>
                <m:chr m:val="̂"/>
              </m:accPr>
              <m:e>
                <m:r>
                  <m:t>π</m:t>
                </m:r>
              </m:e>
            </m:acc>
          </m:e>
          <m:sub>
            <m:r>
              <m:t>0</m:t>
            </m:r>
          </m:sub>
        </m:sSub>
        <m:r>
          <m:rPr>
            <m:sty m:val="p"/>
          </m:rPr>
          <m:t>,</m:t>
        </m:r>
        <m:r>
          <m:rPr>
            <m:sty m:val="p"/>
          </m:rPr>
          <m:t>.</m:t>
        </m:r>
        <m:r>
          <m:rPr>
            <m:sty m:val="p"/>
          </m:rPr>
          <m:t>.</m:t>
        </m:r>
        <m:r>
          <m:rPr>
            <m:sty m:val="p"/>
          </m:rPr>
          <m:t>.</m:t>
        </m:r>
        <m:r>
          <m:rPr>
            <m:sty m:val="p"/>
          </m:rPr>
          <m:t>,</m:t>
        </m:r>
        <m:sSub>
          <m:e>
            <m:acc>
              <m:accPr>
                <m:chr m:val="̂"/>
              </m:accPr>
              <m:e>
                <m:r>
                  <m:t>π</m:t>
                </m:r>
              </m:e>
            </m:acc>
          </m:e>
          <m:sub>
            <m:r>
              <m:t>D</m:t>
            </m:r>
          </m:sub>
        </m:sSub>
      </m:oMath>
      <w:r>
        <w:t xml:space="preserve"> </w:t>
      </w:r>
      <w:r>
        <w:t xml:space="preserve">via the recursion</w:t>
      </w:r>
    </w:p>
    <w:p>
      <w:pPr>
        <w:pStyle w:val="BodyText"/>
      </w:pPr>
      <m:oMathPara>
        <m:oMathParaPr>
          <m:jc m:val="center"/>
        </m:oMathParaPr>
        <m:oMath>
          <m:sSub>
            <m:e>
              <m:acc>
                <m:accPr>
                  <m:chr m:val="̂"/>
                </m:accPr>
                <m:e>
                  <m:r>
                    <m:t>π</m:t>
                  </m:r>
                </m:e>
              </m:acc>
            </m:e>
            <m:sub>
              <m:r>
                <m:rPr>
                  <m:sty m:val="p"/>
                </m:rPr>
                <m:t>≤</m:t>
              </m:r>
              <m:r>
                <m:t>d</m:t>
              </m:r>
            </m:sub>
          </m:sSub>
          <m:r>
            <m:rPr>
              <m:sty m:val="p"/>
            </m:rPr>
            <m:t>=</m:t>
          </m:r>
          <m:d>
            <m:dPr>
              <m:begChr m:val="("/>
              <m:endChr m:val=")"/>
              <m:sepChr m:val=""/>
              <m:grow/>
            </m:dPr>
            <m:e>
              <m:r>
                <m:t>1</m:t>
              </m:r>
              <m:r>
                <m:rPr>
                  <m:sty m:val="p"/>
                </m:rPr>
                <m:t>+</m:t>
              </m:r>
              <m:sSub>
                <m:e>
                  <m:acc>
                    <m:accPr>
                      <m:chr m:val="̂"/>
                    </m:accPr>
                    <m:e>
                      <m:r>
                        <m:t>θ</m:t>
                      </m:r>
                    </m:e>
                  </m:acc>
                </m:e>
                <m:sub>
                  <m:r>
                    <m:t>d</m:t>
                  </m:r>
                </m:sub>
              </m:sSub>
            </m:e>
          </m:d>
          <m:sSub>
            <m:e>
              <m:acc>
                <m:accPr>
                  <m:chr m:val="̂"/>
                </m:accPr>
                <m:e>
                  <m:r>
                    <m:t>π</m:t>
                  </m:r>
                </m:e>
              </m:acc>
            </m:e>
            <m:sub>
              <m:r>
                <m:rPr>
                  <m:sty m:val="p"/>
                </m:rPr>
                <m:t>≤</m:t>
              </m:r>
              <m:r>
                <m:t>d</m:t>
              </m:r>
              <m:r>
                <m:rPr>
                  <m:sty m:val="p"/>
                </m:rPr>
                <m:t>−</m:t>
              </m:r>
              <m:r>
                <m:t>1</m:t>
              </m:r>
            </m:sub>
          </m:sSub>
        </m:oMath>
      </m:oMathPara>
    </w:p>
    <w:p>
      <w:pPr>
        <w:pStyle w:val="FirstParagraph"/>
      </w:pPr>
      <w:r>
        <w:t xml:space="preserve">subject to the constrain that</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r>
          <m:rPr>
            <m:sty m:val="p"/>
          </m:rPr>
          <m:t>=</m:t>
        </m:r>
        <m:r>
          <m:t>1</m:t>
        </m:r>
      </m:oMath>
      <w:r>
        <w:t xml:space="preserve">.</w:t>
      </w:r>
    </w:p>
    <w:p>
      <w:pPr>
        <w:pStyle w:val="BodyText"/>
      </w:pPr>
      <w:r>
        <w:t xml:space="preserve">We note that this method is equivalent to the so-called chainladder method</w:t>
      </w:r>
      <w:r>
        <w:t xml:space="preserve"> </w:t>
      </w:r>
      <w:r>
        <w:t xml:space="preserve">(2)</w:t>
      </w:r>
      <w:r>
        <w:t xml:space="preserve">, adapted to our notation in terms of reporting triangles (rather than</w:t>
      </w:r>
      <w:r>
        <w:t xml:space="preserve"> </w:t>
      </w:r>
      <w:r>
        <w:rPr>
          <w:i/>
          <w:iCs/>
        </w:rPr>
        <w:t xml:space="preserve">development triangles</w:t>
      </w:r>
      <w:r>
        <w:t xml:space="preserve"> </w:t>
      </w:r>
      <w:r>
        <w:t xml:space="preserve">as used in accounting).</w:t>
      </w:r>
    </w:p>
    <w:bookmarkEnd w:id="27"/>
    <w:bookmarkEnd w:id="28"/>
    <w:bookmarkStart w:id="30" w:name="point-nowcast-generation"/>
    <w:p>
      <w:pPr>
        <w:pStyle w:val="Heading3"/>
      </w:pPr>
      <w:r>
        <w:t xml:space="preserve">Point nowcast generation</w:t>
      </w:r>
    </w:p>
    <w:p>
      <w:pPr>
        <w:pStyle w:val="FirstParagraph"/>
      </w:pPr>
      <w:r>
        <w:t xml:space="preserve">We now address the computation of a point nowcast, i.e., expected total daily case numbers</w:t>
      </w:r>
      <w:r>
        <w:t xml:space="preserve"> </w:t>
      </w:r>
      <m:oMath>
        <m:sSub>
          <m:e>
            <m:acc>
              <m:accPr>
                <m:chr m:val="̂"/>
              </m:accPr>
              <m:e>
                <m:r>
                  <m:t>x</m:t>
                </m:r>
              </m:e>
            </m:acc>
          </m:e>
          <m:sub>
            <m:r>
              <m:t>t</m:t>
            </m:r>
          </m:sub>
        </m:sSub>
        <m:r>
          <m:rPr>
            <m:sty m:val="p"/>
          </m:rPr>
          <m:t>,</m:t>
        </m:r>
        <m:r>
          <m:t>t</m:t>
        </m:r>
        <m:r>
          <m:rPr>
            <m:sty m:val="p"/>
          </m:rPr>
          <m:t>=</m:t>
        </m:r>
        <m:sSup>
          <m:e>
            <m:r>
              <m:t>t</m:t>
            </m:r>
          </m:e>
          <m:sup>
            <m:r>
              <m:rPr>
                <m:sty m:val="p"/>
              </m:rPr>
              <m:t>*</m:t>
            </m:r>
          </m:sup>
        </m:sSup>
        <m:r>
          <m:rPr>
            <m:sty m:val="p"/>
          </m:rPr>
          <m:t>−</m:t>
        </m:r>
        <m:r>
          <m:t>D</m:t>
        </m:r>
        <m:r>
          <m:rPr>
            <m:sty m:val="p"/>
          </m:rPr>
          <m:t>+</m:t>
        </m:r>
        <m:r>
          <m:t>1</m:t>
        </m:r>
        <m:r>
          <m:rPr>
            <m:sty m:val="p"/>
          </m:rPr>
          <m:t>,</m:t>
        </m:r>
        <m:sSup>
          <m:e>
            <m:r>
              <m:t>t</m:t>
            </m:r>
          </m:e>
          <m:sup>
            <m:r>
              <m:rPr>
                <m:sty m:val="p"/>
              </m:rPr>
              <m:t>*</m:t>
            </m:r>
          </m:sup>
        </m:sSup>
      </m:oMath>
      <w:r>
        <w:t xml:space="preserve">. These are based on the reporting triangle, more specifically the preliminary totals</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and the estimated delay distribution,</w:t>
      </w:r>
      <w:r>
        <w:t xml:space="preserve"> </w:t>
      </w:r>
      <m:oMath>
        <m:sSub>
          <m:e>
            <m:acc>
              <m:accPr>
                <m:chr m:val="̂"/>
              </m:accPr>
              <m:e>
                <m:r>
                  <m:t>π</m:t>
                </m:r>
              </m:e>
            </m:acc>
          </m:e>
          <m:sub>
            <m:r>
              <m:t>d</m:t>
            </m:r>
          </m:sub>
        </m:sSub>
        <m:r>
          <m:rPr>
            <m:sty m:val="p"/>
          </m:rPr>
          <m:t>,</m:t>
        </m:r>
        <m:r>
          <m:t>d</m:t>
        </m:r>
        <m:r>
          <m:rPr>
            <m:sty m:val="p"/>
          </m:rPr>
          <m:t>=</m:t>
        </m:r>
        <m:r>
          <m:t>0</m:t>
        </m:r>
        <m:r>
          <m:rPr>
            <m:sty m:val="p"/>
          </m:rPr>
          <m:t>,</m:t>
        </m:r>
        <m:r>
          <m:rPr>
            <m:sty m:val="p"/>
          </m:rPr>
          <m:t>…</m:t>
        </m:r>
        <m:r>
          <m:rPr>
            <m:sty m:val="p"/>
          </m:rPr>
          <m:t>,</m:t>
        </m:r>
        <m:r>
          <m:t>D</m:t>
        </m:r>
      </m:oMath>
      <w:r>
        <w:t xml:space="preserve">. In the following we will denote the current day</w:t>
      </w:r>
      <w:r>
        <w:t xml:space="preserve"> </w:t>
      </w:r>
      <m:oMath>
        <m:sSup>
          <m:e>
            <m:r>
              <m:t>t</m:t>
            </m:r>
          </m:e>
          <m:sup>
            <m:r>
              <m:rPr>
                <m:sty m:val="p"/>
              </m:rPr>
              <m:t>*</m:t>
            </m:r>
          </m:sup>
        </m:sSup>
      </m:oMath>
      <w:r>
        <w:t xml:space="preserve"> </w:t>
      </w:r>
      <w:r>
        <w:t xml:space="preserve">as the nowcast date, and the days</w:t>
      </w:r>
      <w:r>
        <w:t xml:space="preserve"> </w:t>
      </w:r>
      <m:oMath>
        <m:r>
          <m:t>t</m:t>
        </m:r>
        <m:r>
          <m:rPr>
            <m:sty m:val="p"/>
          </m:rPr>
          <m:t>=</m:t>
        </m:r>
        <m:sSup>
          <m:e>
            <m:r>
              <m:t>t</m:t>
            </m:r>
          </m:e>
          <m:sup>
            <m:r>
              <m:rPr>
                <m:sty m:val="p"/>
              </m:rPr>
              <m:t>*</m:t>
            </m:r>
          </m:sup>
        </m:sSup>
        <m:r>
          <m:rPr>
            <m:sty m:val="p"/>
          </m:rPr>
          <m:t>−</m:t>
        </m:r>
        <m:r>
          <m:t>D</m:t>
        </m:r>
        <m:r>
          <m:rPr>
            <m:sty m:val="p"/>
          </m:rPr>
          <m:t>,</m:t>
        </m:r>
        <m:r>
          <m:rPr>
            <m:sty m:val="p"/>
          </m:rPr>
          <m:t>…</m:t>
        </m:r>
        <m:r>
          <m:rPr>
            <m:sty m:val="p"/>
          </m:rPr>
          <m:t>,</m:t>
        </m:r>
        <m:sSup>
          <m:e>
            <m:r>
              <m:t>t</m:t>
            </m:r>
          </m:e>
          <m:sup>
            <m:r>
              <m:rPr>
                <m:sty m:val="p"/>
              </m:rPr>
              <m:t>*</m:t>
            </m:r>
          </m:sup>
        </m:sSup>
      </m:oMath>
      <w:r>
        <w:t xml:space="preserve"> </w:t>
      </w:r>
      <w:r>
        <w:t xml:space="preserve">as the reference dates. The difference</w:t>
      </w:r>
      <w:r>
        <w:t xml:space="preserve"> </w:t>
      </w:r>
      <m:oMath>
        <m:r>
          <m:t>j</m:t>
        </m:r>
        <m:r>
          <m:rPr>
            <m:sty m:val="p"/>
          </m:rPr>
          <m:t>=</m:t>
        </m:r>
        <m:sSup>
          <m:e>
            <m:r>
              <m:t>t</m:t>
            </m:r>
          </m:e>
          <m:sup>
            <m:r>
              <m:rPr>
                <m:sty m:val="p"/>
              </m:rPr>
              <m:t>*</m:t>
            </m:r>
          </m:sup>
        </m:sSup>
        <m:r>
          <m:rPr>
            <m:sty m:val="p"/>
          </m:rPr>
          <m:t>−</m:t>
        </m:r>
        <m:r>
          <m:t>t</m:t>
        </m:r>
      </m:oMath>
      <w:r>
        <w:t xml:space="preserve"> </w:t>
      </w:r>
      <w:r>
        <w:t xml:space="preserve">will be called the</w:t>
      </w:r>
      <w:r>
        <w:t xml:space="preserve"> </w:t>
      </w:r>
      <w:r>
        <w:rPr>
          <w:i/>
          <w:iCs/>
        </w:rPr>
        <w:t xml:space="preserve">horizon</w:t>
      </w:r>
      <w:r>
        <w:t xml:space="preserve">.</w:t>
      </w:r>
    </w:p>
    <w:p>
      <w:pPr>
        <w:pStyle w:val="BodyText"/>
      </w:pPr>
      <w:r>
        <w:t xml:space="preserve">An intuitive approach, used in</w:t>
      </w:r>
      <w:r>
        <w:t xml:space="preserve"> </w:t>
      </w:r>
      <w:r>
        <w:t xml:space="preserve">(1)</w:t>
      </w:r>
      <w:r>
        <w:t xml:space="preserve"> </w:t>
      </w:r>
      <w:r>
        <w:t xml:space="preserve">and the standard chain ladder technique, is to simply inflate the current total for a reference date</w:t>
      </w:r>
      <w:r>
        <w:t xml:space="preserve"> </w:t>
      </w:r>
      <m:oMath>
        <m:r>
          <m:t>t</m:t>
        </m:r>
      </m:oMath>
      <w:r>
        <w:t xml:space="preserve"> </w:t>
      </w:r>
      <w:r>
        <w:t xml:space="preserve">by the inverse of the respective probability of observation up to time</w:t>
      </w:r>
      <w:r>
        <w:t xml:space="preserve"> </w:t>
      </w:r>
      <m:oMath>
        <m:sSup>
          <m:e>
            <m:r>
              <m:t>t</m:t>
            </m:r>
          </m:e>
          <m:sup>
            <m:r>
              <m:rPr>
                <m:sty m:val="p"/>
              </m:rPr>
              <m:t>*</m:t>
            </m:r>
          </m:sup>
        </m:sSup>
      </m:oMath>
      <w:r>
        <w:t xml:space="preserve">,</w:t>
      </w:r>
    </w:p>
    <w:p>
      <w:pPr>
        <w:pStyle w:val="BodyText"/>
      </w:pPr>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r>
            <m:rPr>
              <m:sty m:val="p"/>
            </m:rPr>
            <m:t>.</m:t>
          </m:r>
        </m:oMath>
      </m:oMathPara>
    </w:p>
    <w:p>
      <w:pPr>
        <w:pStyle w:val="FirstParagraph"/>
      </w:pPr>
      <w:r>
        <w:t xml:space="preserve">This, however, is not well-behaved if no cases at</w:t>
      </w:r>
      <w:r>
        <w:t xml:space="preserve"> </w:t>
      </w:r>
      <m:oMath>
        <m:r>
          <m:t>t</m:t>
        </m:r>
      </m:oMath>
      <w:r>
        <w:t xml:space="preserve"> </w:t>
      </w:r>
      <w:r>
        <w:t xml:space="preserve">have been observed yet, i.e.,</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 Then</w:t>
      </w:r>
      <w:r>
        <w:t xml:space="preserve"> </w:t>
      </w:r>
      <m:oMath>
        <m:sSub>
          <m:e>
            <m:acc>
              <m:accPr>
                <m:chr m:val="̂"/>
              </m:accPr>
              <m:e>
                <m:r>
                  <m:t>x</m:t>
                </m:r>
              </m:e>
            </m:acc>
          </m:e>
          <m:sub>
            <m:r>
              <m:t>t</m:t>
            </m:r>
          </m:sub>
        </m:sSub>
      </m:oMath>
      <w:r>
        <w:t xml:space="preserve"> </w:t>
      </w:r>
      <w:r>
        <w:t xml:space="preserve">is likewise zero, which yields problems in our uncertainty quantification method (see next section). Motivated by a Bayesian argument (see</w:t>
      </w:r>
      <w:r>
        <w:t xml:space="preserve"> </w:t>
      </w:r>
      <w:hyperlink w:anchor="zero-handling-approximation">
        <w:r>
          <w:rPr>
            <w:rStyle w:val="Hyperlink"/>
          </w:rPr>
          <w:t xml:space="preserve">Zero-handling</w:t>
        </w:r>
      </w:hyperlink>
      <w:r>
        <w:t xml:space="preserve"> </w:t>
      </w:r>
      <w:r>
        <w:t xml:space="preserve">below) we therefore use the expression</w:t>
      </w:r>
    </w:p>
    <w:p>
      <w:pPr>
        <w:pStyle w:val="BodyText"/>
      </w:pPr>
      <w:bookmarkStart w:id="29" w:name="eq-correction"/>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acc>
                    <m:accPr>
                      <m:chr m:val="̂"/>
                    </m:accPr>
                    <m:e>
                      <m:r>
                        <m:t>π</m:t>
                      </m:r>
                    </m:e>
                  </m:acc>
                </m:e>
                <m:sub>
                  <m:r>
                    <m:t>t</m:t>
                  </m:r>
                  <m:r>
                    <m:rPr>
                      <m:sty m:val="p"/>
                    </m:rPr>
                    <m:t>,</m:t>
                  </m:r>
                  <m:r>
                    <m:rPr>
                      <m:sty m:val="p"/>
                    </m:rPr>
                    <m:t>≤</m:t>
                  </m:r>
                  <m:sSup>
                    <m:e>
                      <m:r>
                        <m:t>t</m:t>
                      </m:r>
                    </m:e>
                    <m:sup>
                      <m:r>
                        <m:rPr>
                          <m:sty m:val="p"/>
                        </m:rPr>
                        <m:t>*</m:t>
                      </m:r>
                    </m:sup>
                  </m:sSup>
                  <m:r>
                    <m:rPr>
                      <m:sty m:val="p"/>
                    </m:rPr>
                    <m:t>−</m:t>
                  </m:r>
                  <m:r>
                    <m:t>t</m:t>
                  </m:r>
                </m:sub>
              </m:sSub>
            </m:den>
          </m:f>
          <m:r>
            <m:t>  </m:t>
          </m:r>
          <m:d>
            <m:dPr>
              <m:begChr m:val="("/>
              <m:endChr m:val=")"/>
              <m:sepChr m:val=""/>
              <m:grow/>
            </m:dPr>
            <m:e>
              <m:r>
                <m:t>5</m:t>
              </m:r>
            </m:e>
          </m:d>
        </m:oMath>
      </m:oMathPara>
      <w:bookmarkEnd w:id="29"/>
    </w:p>
    <w:p>
      <w:pPr>
        <w:pStyle w:val="FirstParagraph"/>
      </w:pPr>
      <w:r>
        <w:t xml:space="preserve">instead. This yields essentially identical results for large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but produces positive</w:t>
      </w:r>
      <w:r>
        <w:t xml:space="preserve"> </w:t>
      </w:r>
      <m:oMath>
        <m:sSub>
          <m:e>
            <m:acc>
              <m:accPr>
                <m:chr m:val="̂"/>
              </m:accPr>
              <m:e>
                <m:r>
                  <m:t>x</m:t>
                </m:r>
              </m:e>
            </m:acc>
          </m:e>
          <m:sub>
            <m:r>
              <m:t>t</m:t>
            </m:r>
          </m:sub>
        </m:sSub>
      </m:oMath>
      <w:r>
        <w:t xml:space="preserve"> </w:t>
      </w:r>
      <w:r>
        <w:t xml:space="preserve">even for preliminary zero values</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w:t>
      </w:r>
    </w:p>
    <w:p>
      <w:pPr>
        <w:pStyle w:val="BodyText"/>
      </w:pPr>
      <w:r>
        <w:t xml:space="preserve">For our uncertainty quantification scheme we require not only estimated totals</w:t>
      </w:r>
      <w:r>
        <w:t xml:space="preserve"> </w:t>
      </w:r>
      <m:oMath>
        <m:sSub>
          <m:e>
            <m:acc>
              <m:accPr>
                <m:chr m:val="̂"/>
              </m:accPr>
              <m:e>
                <m:r>
                  <m:t>x</m:t>
                </m:r>
              </m:e>
            </m:acc>
          </m:e>
          <m:sub>
            <m:r>
              <m:t>t</m:t>
            </m:r>
          </m:sub>
        </m:sSub>
      </m:oMath>
      <w:r>
        <w:t xml:space="preserve">, but all entries</w:t>
      </w:r>
      <w:r>
        <w:t xml:space="preserve"> </w:t>
      </w:r>
      <m:oMath>
        <m:sSub>
          <m:e>
            <m:acc>
              <m:accPr>
                <m:chr m:val="̂"/>
              </m:accPr>
              <m:e>
                <m:r>
                  <m:t>x</m:t>
                </m:r>
              </m:e>
            </m:acc>
          </m:e>
          <m:sub>
            <m:r>
              <m:t>t</m:t>
            </m:r>
            <m:r>
              <m:rPr>
                <m:sty m:val="p"/>
              </m:rPr>
              <m:t>,</m:t>
            </m:r>
            <m:r>
              <m:t>d</m:t>
            </m:r>
          </m:sub>
        </m:sSub>
      </m:oMath>
      <w:r>
        <w:t xml:space="preserve"> </w:t>
      </w:r>
      <w:r>
        <w:t xml:space="preserve">of a point nowcast matrix. For</w:t>
      </w:r>
      <w:r>
        <w:t xml:space="preserve"> </w:t>
      </w:r>
      <m:oMath>
        <m:r>
          <m:t>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&gt;</m:t>
        </m:r>
        <m:sSup>
          <m:e>
            <m:r>
              <m:t>t</m:t>
            </m:r>
          </m:e>
          <m:sup>
            <m:r>
              <m:rPr>
                <m:sty m:val="p"/>
              </m:rPr>
              <m:t>*</m:t>
            </m:r>
          </m:sup>
        </m:sSup>
        <m:r>
          <m:rPr>
            <m:sty m:val="p"/>
          </m:rPr>
          <m:t>−</m:t>
        </m:r>
        <m:r>
          <m:t>t</m:t>
        </m:r>
      </m:oMath>
      <w:r>
        <w:t xml:space="preserve"> </w:t>
      </w:r>
      <w:r>
        <w:t xml:space="preserve">these are obtained as</w:t>
      </w:r>
    </w:p>
    <w:p>
      <w:pPr>
        <w:pStyle w:val="BodyText"/>
      </w:pPr>
      <m:oMathPara>
        <m:oMathParaPr>
          <m:jc m:val="center"/>
        </m:oMathParaPr>
        <m:oMath>
          <m:sSub>
            <m:e>
              <m:acc>
                <m:accPr>
                  <m:chr m:val="̂"/>
                </m:accPr>
                <m:e>
                  <m:r>
                    <m:t>x</m:t>
                  </m:r>
                </m:e>
              </m:acc>
            </m:e>
            <m:sub>
              <m:r>
                <m:t>t</m:t>
              </m:r>
              <m:r>
                <m:rPr>
                  <m:sty m:val="p"/>
                </m:rPr>
                <m:t>,</m:t>
              </m:r>
              <m:r>
                <m:t>d</m:t>
              </m:r>
            </m:sub>
          </m:sSub>
          <m:r>
            <m:rPr>
              <m:sty m:val="p"/>
            </m:rPr>
            <m:t>=</m:t>
          </m:r>
          <m:sSub>
            <m:e>
              <m:acc>
                <m:accPr>
                  <m:chr m:val="̂"/>
                </m:accPr>
                <m:e>
                  <m:r>
                    <m:t>π</m:t>
                  </m:r>
                </m:e>
              </m:acc>
            </m:e>
            <m:sub>
              <m:r>
                <m:t>d</m:t>
              </m:r>
            </m:sub>
          </m:sSub>
          <m:r>
            <m:rPr>
              <m:sty m:val="p"/>
            </m:rPr>
            <m:t>×</m:t>
          </m:r>
          <m:sSub>
            <m:e>
              <m:acc>
                <m:accPr>
                  <m:chr m:val="̂"/>
                </m:accPr>
                <m:e>
                  <m:r>
                    <m:t>x</m:t>
                  </m:r>
                </m:e>
              </m:acc>
            </m:e>
            <m:sub>
              <m:r>
                <m:t>t</m:t>
              </m:r>
            </m:sub>
          </m:sSub>
          <m:r>
            <m:rPr>
              <m:sty m:val="p"/>
            </m:rPr>
            <m:t>.</m:t>
          </m:r>
        </m:oMath>
      </m:oMathPara>
    </w:p>
    <w:bookmarkEnd w:id="30"/>
    <w:bookmarkStart w:id="36" w:name="uncertainty-quantification"/>
    <w:p>
      <w:pPr>
        <w:pStyle w:val="Heading3"/>
      </w:pPr>
      <w:r>
        <w:t xml:space="preserve">Uncertainty quantification</w:t>
      </w:r>
    </w:p>
    <w:p>
      <w:pPr>
        <w:pStyle w:val="FirstParagraph"/>
      </w:pPr>
      <w:r>
        <w:t xml:space="preserve">To estimate the uncertainty in the nowcasts, we use the nowcast errors from</w:t>
      </w:r>
      <w:r>
        <w:t xml:space="preserve"> </w:t>
      </w:r>
      <m:oMath>
        <m:r>
          <m:t>M</m:t>
        </m:r>
      </m:oMath>
      <w:r>
        <w:t xml:space="preserve"> </w:t>
      </w:r>
      <w:r>
        <w:t xml:space="preserve">past nowcasting time points. See the Methods: Overview section for more details on the default settings used in the package to define the number of</w:t>
      </w:r>
      <w:r>
        <w:t xml:space="preserve"> </w:t>
      </w:r>
      <m:oMath>
        <m:r>
          <m:t>M</m:t>
        </m:r>
      </m:oMath>
      <w:r>
        <w:t xml:space="preserve"> </w:t>
      </w:r>
      <w:r>
        <w:t xml:space="preserve">past nowcasting time points used.</w:t>
      </w:r>
    </w:p>
    <w:bookmarkStart w:id="31" w:name="X289aaf502c853adf6631b7e17eb88f64610d223"/>
    <w:p>
      <w:pPr>
        <w:pStyle w:val="Heading4"/>
      </w:pPr>
      <w:r>
        <w:t xml:space="preserve">Generation of retrospective reporting triangles</w:t>
      </w:r>
    </w:p>
    <w:p>
      <w:pPr>
        <w:pStyle w:val="FirstParagraph"/>
      </w:pPr>
      <w:r>
        <w:t xml:space="preserve">We first obtain “vintage’’ reporting triangles of the raw reporting triangle (i.e., before pre-processing) to replicate the data which would have been available as of times</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i.e., the last</w:t>
      </w:r>
      <w:r>
        <w:t xml:space="preserve"> </w:t>
      </w:r>
      <m:oMath>
        <m:r>
          <m:t>M</m:t>
        </m:r>
      </m:oMath>
      <w:r>
        <w:t xml:space="preserve"> </w:t>
      </w:r>
      <w:r>
        <w:t xml:space="preserve">days on which nowcasts could have been generated. This simply corresponds to the stepwise omission of all entries with</w:t>
      </w:r>
      <w:r>
        <w:t xml:space="preserve"> </w:t>
      </w:r>
      <m:oMath>
        <m:r>
          <m:t>t</m:t>
        </m:r>
        <m:r>
          <m:rPr>
            <m:sty m:val="p"/>
          </m:rPr>
          <m:t>+</m:t>
        </m:r>
        <m:r>
          <m:t>d</m:t>
        </m:r>
        <m:r>
          <m:rPr>
            <m:sty m:val="p"/>
          </m:rPr>
          <m:t>&gt;</m:t>
        </m:r>
        <m:sSup>
          <m:e>
            <m:r>
              <m:t>s</m:t>
            </m:r>
          </m:e>
          <m:sup>
            <m:r>
              <m:rPr>
                <m:sty m:val="p"/>
              </m:rPr>
              <m:t>*</m:t>
            </m:r>
          </m:sup>
        </m:sSup>
      </m:oMath>
      <w:r>
        <w:t xml:space="preserve">, which for each</w:t>
      </w:r>
      <w:r>
        <w:t xml:space="preserve"> </w:t>
      </w:r>
      <m:oMath>
        <m:sSup>
          <m:e>
            <m:r>
              <m:t>s</m:t>
            </m:r>
          </m:e>
          <m:sup>
            <m:r>
              <m:rPr>
                <m:sty m:val="p"/>
              </m:rPr>
              <m:t>*</m:t>
            </m:r>
          </m:sup>
        </m:sSup>
      </m:oMath>
      <w:r>
        <w:t xml:space="preserve"> </w:t>
      </w:r>
      <w:r>
        <w:t xml:space="preserve">is a diagonal from the bottom left to the top right. The same pre-processing step as in Section</w:t>
      </w:r>
      <w:r>
        <w:t xml:space="preserve"> </w:t>
      </w:r>
      <w:hyperlink w:anchor="preprocessing">
        <w:r>
          <w:rPr>
            <w:rStyle w:val="Hyperlink"/>
          </w:rPr>
          <w:t xml:space="preserve">Preprocessing of the reporting triangle</w:t>
        </w:r>
      </w:hyperlink>
      <w:r>
        <w:t xml:space="preserve"> </w:t>
      </w:r>
      <w:r>
        <w:t xml:space="preserve">is applied to each vintage reporting triangle.</w:t>
      </w:r>
    </w:p>
    <w:bookmarkEnd w:id="31"/>
    <w:bookmarkStart w:id="32" w:name="X452336ea488f83f9eda1b30a5bd5f00f08d3758"/>
    <w:p>
      <w:pPr>
        <w:pStyle w:val="Heading4"/>
      </w:pPr>
      <w:r>
        <w:t xml:space="preserve">Generation of retrospective point nowcast matrices</w:t>
      </w:r>
    </w:p>
    <w:p>
      <w:pPr>
        <w:pStyle w:val="FirstParagraph"/>
      </w:pPr>
      <w:r>
        <w:t xml:space="preserve">For each of the</w:t>
      </w:r>
      <w:r>
        <w:t xml:space="preserve"> </w:t>
      </w:r>
      <m:oMath>
        <m:r>
          <m:t>M</m:t>
        </m:r>
      </m:oMath>
      <w:r>
        <w:t xml:space="preserve"> </w:t>
      </w:r>
      <w:r>
        <w:t xml:space="preserve">vintage reporting triangles, i.e.,</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we apply the method described above to estimate a delay distribution and generate a point nowcast matrix. To indicate the data version on which it is based, its entries are denoted by</w:t>
      </w:r>
    </w:p>
    <w:p>
      <w:pPr>
        <w:pStyle w:val="BodyText"/>
      </w:pPr>
      <m:oMathPara>
        <m:oMathParaPr>
          <m:jc m:val="center"/>
        </m:oMathParaPr>
        <m:oMath>
          <m:sSub>
            <m:e>
              <m:acc>
                <m:accPr>
                  <m:chr m:val="̂"/>
                </m:accPr>
                <m:e>
                  <m:r>
                    <m:t>x</m:t>
                  </m:r>
                </m:e>
              </m:acc>
            </m:e>
            <m:sub>
              <m:r>
                <m:t>t</m:t>
              </m:r>
              <m:r>
                <m:rPr>
                  <m:sty m:val="p"/>
                </m:rPr>
                <m:t>,</m:t>
              </m:r>
              <m:r>
                <m:t>d</m:t>
              </m:r>
            </m:sub>
          </m:sSub>
          <m:d>
            <m:dPr>
              <m:begChr m:val="("/>
              <m:endChr m:val=")"/>
              <m:sepChr m:val=""/>
              <m:grow/>
            </m:dPr>
            <m:e>
              <m:sSup>
                <m:e>
                  <m:r>
                    <m:t>s</m:t>
                  </m:r>
                </m:e>
                <m:sup>
                  <m:r>
                    <m:rPr>
                      <m:sty m:val="p"/>
                    </m:rPr>
                    <m:t>*</m:t>
                  </m:r>
                </m:sup>
              </m:sSup>
            </m:e>
          </m:d>
        </m:oMath>
      </m:oMathPara>
    </w:p>
    <w:p>
      <w:pPr>
        <w:pStyle w:val="FirstParagraph"/>
      </w:pPr>
      <w:r>
        <w:t xml:space="preserve">for</w:t>
      </w:r>
      <w:r>
        <w:t xml:space="preserve"> </w:t>
      </w:r>
      <m:oMath>
        <m:r>
          <m:t>t</m:t>
        </m:r>
        <m:r>
          <m:rPr>
            <m:sty m:val="p"/>
          </m:rPr>
          <m:t>=</m:t>
        </m:r>
        <m:sSup>
          <m:e>
            <m:r>
              <m:t>s</m:t>
            </m:r>
          </m:e>
          <m:sup>
            <m:r>
              <m:rPr>
                <m:sty m:val="p"/>
              </m:rPr>
              <m:t>*</m:t>
            </m:r>
          </m:sup>
        </m:sSup>
        <m:r>
          <m:rPr>
            <m:sty m:val="p"/>
          </m:rPr>
          <m:t>−</m:t>
        </m:r>
        <m:r>
          <m:t>D</m:t>
        </m:r>
        <m:r>
          <m:rPr>
            <m:sty m:val="p"/>
          </m:rPr>
          <m:t>+</m:t>
        </m:r>
        <m:r>
          <m:t>1</m:t>
        </m:r>
        <m:r>
          <m:rPr>
            <m:sty m:val="p"/>
          </m:rPr>
          <m:t>,</m:t>
        </m:r>
        <m:r>
          <m:rPr>
            <m:sty m:val="p"/>
          </m:rPr>
          <m:t>…</m:t>
        </m:r>
        <m:r>
          <m:rPr>
            <m:sty m:val="p"/>
          </m:rPr>
          <m:t>,</m:t>
        </m:r>
        <m:sSup>
          <m:e>
            <m:r>
              <m:t>s</m:t>
            </m:r>
          </m:e>
          <m:sup>
            <m:r>
              <m:rPr>
                <m:sty m:val="p"/>
              </m:rPr>
              <m:t>*</m:t>
            </m:r>
          </m:sup>
        </m:sSup>
      </m:oMath>
      <w:r>
        <w:t xml:space="preserve"> </w:t>
      </w:r>
      <w:r>
        <w:t xml:space="preserve">and</w:t>
      </w:r>
      <w:r>
        <w:t xml:space="preserve"> </w:t>
      </w:r>
      <m:oMath>
        <m:r>
          <m:t>d</m:t>
        </m:r>
        <m:r>
          <m:rPr>
            <m:sty m:val="p"/>
          </m:rPr>
          <m:t>=</m:t>
        </m:r>
        <m:sSup>
          <m:e>
            <m:r>
              <m:t>s</m:t>
            </m:r>
          </m:e>
          <m:sup>
            <m:r>
              <m:rPr>
                <m:sty m:val="p"/>
              </m:rPr>
              <m:t>*</m:t>
            </m:r>
          </m:sup>
        </m:sSup>
        <m:r>
          <m:rPr>
            <m:sty m:val="p"/>
          </m:rPr>
          <m:t>−</m:t>
        </m:r>
        <m:r>
          <m:t>t</m:t>
        </m:r>
        <m:r>
          <m:rPr>
            <m:sty m:val="p"/>
          </m:rPr>
          <m:t>+</m:t>
        </m:r>
        <m:r>
          <m:t>1</m:t>
        </m:r>
        <m:r>
          <m:rPr>
            <m:sty m:val="p"/>
          </m:rPr>
          <m:t>,</m:t>
        </m:r>
        <m:r>
          <m:rPr>
            <m:sty m:val="p"/>
          </m:rPr>
          <m:t>…</m:t>
        </m:r>
        <m:r>
          <m:t>D</m:t>
        </m:r>
      </m:oMath>
      <w:r>
        <w:t xml:space="preserve">.</w:t>
      </w:r>
    </w:p>
    <w:p>
      <w:pPr>
        <w:pStyle w:val="BodyText"/>
      </w:pPr>
      <w:r>
        <w:t xml:space="preserve">Note that estimation is again based on the last</w:t>
      </w:r>
      <w:r>
        <w:t xml:space="preserve"> </w:t>
      </w:r>
      <m:oMath>
        <m:r>
          <m:t>N</m:t>
        </m:r>
      </m:oMath>
      <w:r>
        <w:t xml:space="preserve"> </w:t>
      </w:r>
      <w:r>
        <w:t xml:space="preserve">rows of the respective reporting triangle, which must consequently contain at least</w:t>
      </w:r>
      <w:r>
        <w:t xml:space="preserve"> </w:t>
      </w:r>
      <m:oMath>
        <m:r>
          <m:t>M</m:t>
        </m:r>
        <m:r>
          <m:rPr>
            <m:sty m:val="p"/>
          </m:rPr>
          <m:t>+</m:t>
        </m:r>
        <m:r>
          <m:t>N</m:t>
        </m:r>
      </m:oMath>
      <w:r>
        <w:t xml:space="preserve"> </w:t>
      </w:r>
      <w:r>
        <w:t xml:space="preserve">rows in total.</w:t>
      </w:r>
    </w:p>
    <w:bookmarkEnd w:id="32"/>
    <w:bookmarkStart w:id="35" w:name="Xe303e7f2e812b90bda2efb8479828ae39f75705"/>
    <w:p>
      <w:pPr>
        <w:pStyle w:val="Heading4"/>
      </w:pPr>
      <w:r>
        <w:t xml:space="preserve">Fit a negative binomial observation model to past nowcast errors (per nowcast horizon)</w:t>
      </w:r>
    </w:p>
    <w:p>
      <w:pPr>
        <w:pStyle w:val="FirstParagraph"/>
      </w:pPr>
      <w:r>
        <w:t xml:space="preserve">A point nowcast based on the reporting triangle from time</w:t>
      </w:r>
      <w:r>
        <w:t xml:space="preserve"> </w:t>
      </w:r>
      <m:oMath>
        <m:sSup>
          <m:e>
            <m:r>
              <m:t>s</m:t>
            </m:r>
          </m:e>
          <m:sup>
            <m:r>
              <m:rPr>
                <m:sty m:val="p"/>
              </m:rPr>
              <m:t>*</m:t>
            </m:r>
          </m:sup>
        </m:sSup>
      </m:oMath>
      <w:r>
        <w:t xml:space="preserve"> </w:t>
      </w:r>
      <w:r>
        <w:t xml:space="preserve">can also be written as</w:t>
      </w:r>
    </w:p>
    <w:p>
      <w:pPr>
        <w:pStyle w:val="BodyText"/>
      </w:pPr>
      <m:oMathPara>
        <m:oMathParaPr>
          <m:jc m:val="center"/>
        </m:oMathParaPr>
        <m:oMath>
          <m:sSub>
            <m:e>
              <m:acc>
                <m:accPr>
                  <m:chr m:val="̂"/>
                </m:accPr>
                <m:e>
                  <m:r>
                    <m:t>x</m:t>
                  </m:r>
                </m:e>
              </m:acc>
            </m:e>
            <m:sub>
              <m:r>
                <m:t>t</m:t>
              </m:r>
            </m:sub>
          </m:sSub>
          <m:d>
            <m:dPr>
              <m:begChr m:val="("/>
              <m:endChr m:val=")"/>
              <m:sepChr m:val=""/>
              <m:grow/>
            </m:dPr>
            <m:e>
              <m:sSup>
                <m:e>
                  <m:r>
                    <m:t>s</m:t>
                  </m:r>
                </m:e>
                <m:sup>
                  <m:r>
                    <m:rPr>
                      <m:sty m:val="p"/>
                    </m:rPr>
                    <m:t>*</m:t>
                  </m:r>
                </m:sup>
              </m:sSup>
            </m:e>
          </m:d>
          <m:r>
            <m:rPr>
              <m:sty m:val="p"/>
            </m:rPr>
            <m:t>=</m:t>
          </m:r>
          <m:sSub>
            <m:e>
              <m:r>
                <m:t>x</m:t>
              </m:r>
            </m:e>
            <m:sub>
              <m:r>
                <m:t>t</m:t>
              </m:r>
              <m:r>
                <m:rPr>
                  <m:sty m:val="p"/>
                </m:rPr>
                <m:t>,</m:t>
              </m:r>
              <m:r>
                <m:rPr>
                  <m:sty m:val="p"/>
                </m:rPr>
                <m:t>≤</m:t>
              </m:r>
              <m:sSup>
                <m:e>
                  <m:r>
                    <m:t>s</m:t>
                  </m:r>
                </m:e>
                <m:sup>
                  <m:r>
                    <m:rPr>
                      <m:sty m:val="p"/>
                    </m:rPr>
                    <m:t>*</m:t>
                  </m:r>
                </m:sup>
              </m:sSup>
              <m:r>
                <m:rPr>
                  <m:sty m:val="p"/>
                </m:rPr>
                <m:t>−</m:t>
              </m:r>
              <m:r>
                <m:t>t</m:t>
              </m:r>
            </m:sub>
          </m:sSub>
          <m:r>
            <m:rPr>
              <m:sty m:val="p"/>
            </m:rPr>
            <m:t>+</m:t>
          </m:r>
          <m:sSub>
            <m:e>
              <m:acc>
                <m:accPr>
                  <m:chr m:val="̂"/>
                </m:accPr>
                <m:e>
                  <m:r>
                    <m:t>x</m:t>
                  </m:r>
                </m:e>
              </m:acc>
            </m:e>
            <m:sub>
              <m:r>
                <m:t>t</m:t>
              </m:r>
              <m:r>
                <m:rPr>
                  <m:sty m:val="p"/>
                </m:rPr>
                <m:t>,</m:t>
              </m:r>
              <m:r>
                <m:rPr>
                  <m:sty m:val="p"/>
                </m:rPr>
                <m:t>&gt;</m:t>
              </m:r>
              <m:sSup>
                <m:e>
                  <m:r>
                    <m:t>s</m:t>
                  </m:r>
                </m:e>
                <m:sup>
                  <m:r>
                    <m:rPr>
                      <m:sty m:val="p"/>
                    </m:rPr>
                    <m:t>*</m:t>
                  </m:r>
                </m:sup>
              </m:sSup>
              <m:r>
                <m:rPr>
                  <m:sty m:val="p"/>
                </m:rPr>
                <m:t>−</m:t>
              </m:r>
              <m:r>
                <m:t>t</m:t>
              </m:r>
            </m:sub>
          </m:sSub>
          <m:d>
            <m:dPr>
              <m:begChr m:val="("/>
              <m:endChr m:val=")"/>
              <m:sepChr m:val=""/>
              <m:grow/>
            </m:dPr>
            <m:e>
              <m:sSup>
                <m:e>
                  <m:r>
                    <m:t>s</m:t>
                  </m:r>
                </m:e>
                <m:sup>
                  <m:r>
                    <m:rPr>
                      <m:sty m:val="p"/>
                    </m:rPr>
                    <m:t>*</m:t>
                  </m:r>
                </m:sup>
              </m:sSup>
            </m:e>
          </m:d>
          <m:r>
            <m:rPr>
              <m:sty m:val="p"/>
            </m:rPr>
            <m:t>.</m:t>
          </m:r>
        </m:oMath>
      </m:oMathPara>
    </w:p>
    <w:p>
      <w:pPr>
        <w:pStyle w:val="FirstParagraph"/>
      </w:pPr>
      <w:r>
        <w:t xml:space="preserve">Only the second term has some associated uncertainty, while the first is already known at time</w:t>
      </w:r>
      <w:r>
        <w:t xml:space="preserve"> </w:t>
      </w:r>
      <m:oMath>
        <m:sSup>
          <m:e>
            <m:r>
              <m:t>s</m:t>
            </m:r>
          </m:e>
          <m:sup>
            <m:r>
              <m:rPr>
                <m:sty m:val="p"/>
              </m:rPr>
              <m:t>*</m:t>
            </m:r>
          </m:sup>
        </m:sSup>
      </m:oMath>
      <w:r>
        <w:t xml:space="preserve">. To quantify this uncertainty for given nowcast horizon</w:t>
      </w:r>
      <w:r>
        <w:t xml:space="preserve"> </w:t>
      </w:r>
      <m:oMath>
        <m:r>
          <m:t>0</m:t>
        </m:r>
        <m:r>
          <m:rPr>
            <m:sty m:val="p"/>
          </m:rPr>
          <m:t>≤</m:t>
        </m:r>
        <m:r>
          <m:t>j</m:t>
        </m:r>
        <m:r>
          <m:rPr>
            <m:sty m:val="p"/>
          </m:rPr>
          <m:t>≤</m:t>
        </m:r>
        <m:r>
          <m:t>D</m:t>
        </m:r>
      </m:oMath>
      <w:r>
        <w:t xml:space="preserve">, we assemble the</w:t>
      </w:r>
      <w:r>
        <w:t xml:space="preserve"> </w:t>
      </w:r>
      <m:oMath>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oMath>
      <w:r>
        <w:t xml:space="preserve"> </w:t>
      </w:r>
      <w:r>
        <w:t xml:space="preserve">and</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for</w:t>
      </w:r>
      <w:r>
        <w:t xml:space="preserve"> </w:t>
      </w:r>
      <m:oMath>
        <m:sSup>
          <m:e>
            <m:r>
              <m:t>s</m:t>
            </m:r>
          </m:e>
          <m:sup>
            <m:r>
              <m:rPr>
                <m:sty m:val="p"/>
              </m:rPr>
              <m:t>*</m:t>
            </m:r>
          </m:sup>
        </m:sSup>
        <m:r>
          <m:rPr>
            <m:sty m:val="p"/>
          </m:rPr>
          <m:t>=</m:t>
        </m:r>
        <m:sSup>
          <m:e>
            <m:r>
              <m:t>t</m:t>
            </m:r>
          </m:e>
          <m:sup>
            <m:r>
              <m:rPr>
                <m:sty m:val="p"/>
              </m:rPr>
              <m:t>*</m:t>
            </m:r>
          </m:sup>
        </m:sSup>
        <m:r>
          <m:rPr>
            <m:sty m:val="p"/>
          </m:rPr>
          <m:t>−</m:t>
        </m:r>
        <m:r>
          <m:t>M</m:t>
        </m:r>
        <m:r>
          <m:rPr>
            <m:sty m:val="p"/>
          </m:rPr>
          <m:t>,</m:t>
        </m:r>
        <m:r>
          <m:rPr>
            <m:sty m:val="p"/>
          </m:rPr>
          <m:t>…</m:t>
        </m:r>
        <m:r>
          <m:rPr>
            <m:sty m:val="p"/>
          </m:rPr>
          <m:t>,</m:t>
        </m:r>
        <m:sSup>
          <m:e>
            <m:r>
              <m:t>t</m:t>
            </m:r>
          </m:e>
          <m:sup>
            <m:r>
              <m:rPr>
                <m:sty m:val="p"/>
              </m:rPr>
              <m:t>*</m:t>
            </m:r>
          </m:sup>
        </m:sSup>
        <m:r>
          <m:rPr>
            <m:sty m:val="p"/>
          </m:rPr>
          <m:t>−</m:t>
        </m:r>
        <m:r>
          <m:t>1</m:t>
        </m:r>
      </m:oMath>
      <w:r>
        <w:t xml:space="preserve">. If all observations were complete, we would then estimate the overdispersion parameter</w:t>
      </w:r>
      <w:r>
        <w:t xml:space="preserve"> </w:t>
      </w:r>
      <m:oMath>
        <m:sSub>
          <m:e>
            <m:r>
              <m:t>ϕ</m:t>
            </m:r>
          </m:e>
          <m:sub>
            <m:r>
              <m:t>j</m:t>
            </m:r>
          </m:sub>
        </m:sSub>
      </m:oMath>
      <w:r>
        <w:t xml:space="preserve"> </w:t>
      </w:r>
      <w:r>
        <w:t xml:space="preserve">of a negative binomial distribution</w:t>
      </w:r>
    </w:p>
    <w:p>
      <w:pPr>
        <w:pStyle w:val="BodyText"/>
      </w:pPr>
      <w:bookmarkStart w:id="33" w:name="eq-negbin"/>
      <m:oMathPara>
        <m:oMathParaPr>
          <m:jc m:val="center"/>
        </m:oMathParaPr>
        <m:oMath>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NegBin</m:t>
          </m:r>
          <m:d>
            <m:dPr>
              <m:begChr m:val="["/>
              <m:endChr m:val="]"/>
              <m:sepChr m:val=""/>
              <m:grow/>
            </m:dPr>
            <m:e>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r>
                <m:rPr>
                  <m:sty m:val="p"/>
                </m:rPr>
                <m:t>,</m:t>
              </m:r>
              <m:sSub>
                <m:e>
                  <m:r>
                    <m:t>ϕ</m:t>
                  </m:r>
                </m:e>
                <m:sub>
                  <m:r>
                    <m:t>j</m:t>
                  </m:r>
                </m:sub>
              </m:sSub>
            </m:e>
          </m:d>
          <m:r>
            <m:rPr>
              <m:sty m:val="p"/>
            </m:rPr>
            <m:t>,</m:t>
          </m:r>
          <m:r>
            <m:t>  </m:t>
          </m:r>
          <m:d>
            <m:dPr>
              <m:begChr m:val="("/>
              <m:endChr m:val=")"/>
              <m:sepChr m:val=""/>
              <m:grow/>
            </m:dPr>
            <m:e>
              <m:r>
                <m:t>6</m:t>
              </m:r>
            </m:e>
          </m:d>
        </m:oMath>
      </m:oMathPara>
      <w:bookmarkEnd w:id="33"/>
    </w:p>
    <w:p>
      <w:pPr>
        <w:pStyle w:val="FirstParagraph"/>
      </w:pPr>
      <w:r>
        <w:t xml:space="preserve">with independence assumed across the different</w:t>
      </w:r>
      <w:r>
        <w:t xml:space="preserve"> </w:t>
      </w:r>
      <m:oMath>
        <m:sSup>
          <m:e>
            <m:r>
              <m:t>s</m:t>
            </m:r>
          </m:e>
          <m:sup>
            <m:r>
              <m:rPr>
                <m:sty m:val="p"/>
              </m:rPr>
              <m:t>*</m:t>
            </m:r>
          </m:sup>
        </m:sSup>
      </m:oMath>
      <w:r>
        <w:t xml:space="preserve">. This, however, is not directly feasible as again some of the</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are not yet observed at time</w:t>
      </w:r>
      <w:r>
        <w:t xml:space="preserve"> </w:t>
      </w:r>
      <m:oMath>
        <m:sSup>
          <m:e>
            <m:r>
              <m:t>t</m:t>
            </m:r>
          </m:e>
          <m:sup>
            <m:r>
              <m:rPr>
                <m:sty m:val="p"/>
              </m:rPr>
              <m:t>*</m:t>
            </m:r>
          </m:sup>
        </m:sSup>
      </m:oMath>
      <w:r>
        <w:t xml:space="preserve">. We could discard these instances, but this would considerably reduce our number of available observations. We therefore use partial observations as available at time</w:t>
      </w:r>
      <w:r>
        <w:t xml:space="preserve"> </w:t>
      </w:r>
      <m:oMath>
        <m:sSup>
          <m:e>
            <m:r>
              <m:t>t</m:t>
            </m:r>
          </m:e>
          <m:sup>
            <m:r>
              <m:rPr>
                <m:sty m:val="p"/>
              </m:rPr>
              <m:t>*</m:t>
            </m:r>
          </m:sup>
        </m:sSup>
      </m:oMath>
      <w:r>
        <w:t xml:space="preserve"> </w:t>
      </w:r>
      <w:r>
        <w:t xml:space="preserve">and assume</w:t>
      </w:r>
    </w:p>
    <w:p>
      <w:pPr>
        <w:pStyle w:val="BodyText"/>
      </w:pPr>
      <w:bookmarkStart w:id="34" w:name="eq-negbin2"/>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rPr>
              <m:sty m:val="p"/>
            </m:rPr>
            <m:t>∼</m:t>
          </m:r>
          <m:r>
            <m:rPr>
              <m:nor/>
              <m:sty m:val="p"/>
            </m:rPr>
            <m:t>NegBin</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sSub>
                <m:e>
                  <m:r>
                    <m:t>ϕ</m:t>
                  </m:r>
                </m:e>
                <m:sub>
                  <m:r>
                    <m:t>j</m:t>
                  </m:r>
                </m:sub>
              </m:sSub>
            </m:e>
          </m:d>
          <m:r>
            <m:rPr>
              <m:sty m:val="p"/>
            </m:rPr>
            <m:t>.</m:t>
          </m:r>
          <m:r>
            <m:t>  </m:t>
          </m:r>
          <m:d>
            <m:dPr>
              <m:begChr m:val="("/>
              <m:endChr m:val=")"/>
              <m:sepChr m:val=""/>
              <m:grow/>
            </m:dPr>
            <m:e>
              <m:r>
                <m:t>7</m:t>
              </m:r>
            </m:e>
          </m:d>
        </m:oMath>
      </m:oMathPara>
      <w:bookmarkEnd w:id="34"/>
    </w:p>
    <w:p>
      <w:pPr>
        <w:pStyle w:val="FirstParagraph"/>
      </w:pPr>
      <w:r>
        <w:t xml:space="preserve">Here, the use of a constant dispersion parameter</w:t>
      </w:r>
      <w:r>
        <w:t xml:space="preserve"> </w:t>
      </w:r>
      <m:oMath>
        <m:sSub>
          <m:e>
            <m:r>
              <m:t>ϕ</m:t>
            </m:r>
          </m:e>
          <m:sub>
            <m:r>
              <m:t>j</m:t>
            </m:r>
          </m:sub>
        </m:sSub>
      </m:oMath>
      <w:r>
        <w:t xml:space="preserve"> </w:t>
      </w:r>
      <w:r>
        <w:t xml:space="preserve">despite some of the values in the fitting procedure being yet incomplete is justified by the fact that the negative binomial distribution is closed to binomial subsampling, with the overdispersion parameter preserved. If equation</w:t>
      </w:r>
      <w:r>
        <w:t xml:space="preserve"> </w:t>
      </w:r>
      <w:hyperlink w:anchor="eq-negbin">
        <w:r>
          <w:rPr>
            <w:rStyle w:val="Hyperlink"/>
          </w:rPr>
          <w:t xml:space="preserve">Equation 6</w:t>
        </w:r>
      </w:hyperlink>
      <w:r>
        <w:t xml:space="preserve"> </w:t>
      </w:r>
      <w:r>
        <w:t xml:space="preserve">holds in combination with</w:t>
      </w:r>
    </w:p>
    <w:p>
      <w:pPr>
        <w:pStyle w:val="BodyText"/>
      </w:pPr>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t> </m:t>
          </m:r>
          <m:r>
            <m:rPr>
              <m:sty m:val="p"/>
            </m:rPr>
            <m:t>|</m:t>
          </m:r>
          <m:r>
            <m:t> </m:t>
          </m:r>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Bin</m:t>
          </m:r>
          <m:d>
            <m:dPr>
              <m:begChr m:val="["/>
              <m:endChr m:val="]"/>
              <m:sepChr m:val=""/>
              <m:grow/>
            </m:dPr>
            <m:e>
              <m:sSub>
                <m:e>
                  <m:r>
                    <m:t>X</m:t>
                  </m:r>
                </m:e>
                <m:sub>
                  <m:sSup>
                    <m:e>
                      <m:r>
                        <m:t>s</m:t>
                      </m:r>
                    </m:e>
                    <m:sup>
                      <m:r>
                        <m:rPr>
                          <m:sty m:val="p"/>
                        </m:rPr>
                        <m:t>*</m:t>
                      </m:r>
                    </m:sup>
                  </m:sSup>
                  <m:r>
                    <m:rPr>
                      <m:sty m:val="p"/>
                    </m:rPr>
                    <m:t>−</m:t>
                  </m:r>
                  <m:r>
                    <m:t>j</m:t>
                  </m:r>
                  <m:r>
                    <m:rPr>
                      <m:sty m:val="p"/>
                    </m:rPr>
                    <m:t>,</m:t>
                  </m:r>
                  <m:r>
                    <m:rPr>
                      <m:sty m:val="p"/>
                    </m:rPr>
                    <m:t>&gt;</m:t>
                  </m:r>
                  <m:r>
                    <m:t>j</m:t>
                  </m:r>
                </m:sub>
              </m:sSub>
              <m:r>
                <m:rPr>
                  <m:sty m:val="p"/>
                </m:rPr>
                <m:t>,</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π</m:t>
                          </m:r>
                        </m:e>
                        <m:sub>
                          <m:r>
                            <m:t>d</m:t>
                          </m:r>
                        </m:sub>
                      </m:sSub>
                    </m:e>
                  </m:nary>
                </m:e>
              </m:d>
              <m:r>
                <m:rPr>
                  <m:sty m:val="p"/>
                </m:rPr>
                <m:t>/</m:t>
              </m:r>
              <m:sSub>
                <m:e>
                  <m:r>
                    <m:t>π</m:t>
                  </m:r>
                </m:e>
                <m:sub>
                  <m:r>
                    <m:rPr>
                      <m:sty m:val="p"/>
                    </m:rPr>
                    <m:t>&gt;</m:t>
                  </m:r>
                  <m:r>
                    <m:t>j</m:t>
                  </m:r>
                </m:sub>
              </m:sSub>
            </m:e>
          </m:d>
          <m:r>
            <m:rPr>
              <m:sty m:val="p"/>
            </m:rPr>
            <m:t>,</m:t>
          </m:r>
        </m:oMath>
      </m:oMathPara>
    </w:p>
    <w:p>
      <w:pPr>
        <w:pStyle w:val="FirstParagraph"/>
      </w:pPr>
      <w:r>
        <w:t xml:space="preserve">we thus obtain</w:t>
      </w:r>
      <w:r>
        <w:t xml:space="preserve"> </w:t>
      </w:r>
      <w:hyperlink w:anchor="eq-negbin2">
        <w:r>
          <w:rPr>
            <w:rStyle w:val="Hyperlink"/>
          </w:rPr>
          <w:t xml:space="preserve">Equation 7</w:t>
        </w:r>
      </w:hyperlink>
      <w:r>
        <w:t xml:space="preserve">. Estimated dispersion parameters</w:t>
      </w:r>
      <w:r>
        <w:t xml:space="preserve"> </w:t>
      </w:r>
      <m:oMath>
        <m:sSub>
          <m:e>
            <m:acc>
              <m:accPr>
                <m:chr m:val="̂"/>
              </m:accPr>
              <m:e>
                <m:r>
                  <m:t>ϕ</m:t>
                </m:r>
              </m:e>
            </m:acc>
          </m:e>
          <m:sub>
            <m:r>
              <m:t>0</m:t>
            </m:r>
          </m:sub>
        </m:sSub>
        <m:r>
          <m:rPr>
            <m:sty m:val="p"/>
          </m:rPr>
          <m:t>,</m:t>
        </m:r>
        <m:r>
          <m:rPr>
            <m:sty m:val="p"/>
          </m:rPr>
          <m:t>…</m:t>
        </m:r>
        <m:r>
          <m:rPr>
            <m:sty m:val="p"/>
          </m:rPr>
          <m:t>,</m:t>
        </m:r>
        <m:sSub>
          <m:e>
            <m:acc>
              <m:accPr>
                <m:chr m:val="̂"/>
              </m:accPr>
              <m:e>
                <m:r>
                  <m:t>ϕ</m:t>
                </m:r>
              </m:e>
            </m:acc>
          </m:e>
          <m:sub>
            <m:r>
              <m:t>D</m:t>
            </m:r>
          </m:sub>
        </m:sSub>
      </m:oMath>
      <w:r>
        <w:t xml:space="preserve"> </w:t>
      </w:r>
      <w:r>
        <w:t xml:space="preserve">are obtained by maximum likelihood estimation.</w:t>
      </w:r>
    </w:p>
    <w:bookmarkEnd w:id="35"/>
    <w:bookmarkEnd w:id="36"/>
    <w:bookmarkStart w:id="37" w:name="probabilistic-nowcast-generation"/>
    <w:p>
      <w:pPr>
        <w:pStyle w:val="Heading3"/>
      </w:pPr>
      <w:r>
        <w:t xml:space="preserve">Probabilistic nowcast generation</w:t>
      </w:r>
    </w:p>
    <w:p>
      <w:pPr>
        <w:pStyle w:val="FirstParagraph"/>
      </w:pPr>
      <w:r>
        <w:t xml:space="preserve">Predictive distributions for</w:t>
      </w:r>
      <w:r>
        <w:t xml:space="preserve"> </w:t>
      </w:r>
      <m:oMath>
        <m:sSub>
          <m:e>
            <m:r>
              <m:t>X</m:t>
            </m:r>
          </m:e>
          <m:sub>
            <m:sSup>
              <m:e>
                <m:r>
                  <m:t>t</m:t>
                </m:r>
              </m:e>
              <m:sup>
                <m:r>
                  <m:rPr>
                    <m:sty m:val="p"/>
                  </m:rPr>
                  <m:t>*</m:t>
                </m:r>
              </m:sup>
            </m:sSup>
          </m:sub>
        </m:sSub>
        <m:r>
          <m:rPr>
            <m:sty m:val="p"/>
          </m:rPr>
          <m:t>,</m:t>
        </m:r>
        <m:r>
          <m:rPr>
            <m:sty m:val="p"/>
          </m:rPr>
          <m:t>…</m:t>
        </m:r>
        <m:r>
          <m:rPr>
            <m:sty m:val="p"/>
          </m:rPr>
          <m:t>,</m:t>
        </m:r>
        <m:sSub>
          <m:e>
            <m:r>
              <m:t>X</m:t>
            </m:r>
          </m:e>
          <m:sub>
            <m:sSup>
              <m:e>
                <m:r>
                  <m:t>t</m:t>
                </m:r>
              </m:e>
              <m:sup>
                <m:r>
                  <m:rPr>
                    <m:sty m:val="p"/>
                  </m:rPr>
                  <m:t>*</m:t>
                </m:r>
              </m:sup>
            </m:sSup>
            <m:r>
              <m:rPr>
                <m:sty m:val="p"/>
              </m:rPr>
              <m:t>−</m:t>
            </m:r>
            <m:r>
              <m:t>D</m:t>
            </m:r>
            <m:r>
              <m:rPr>
                <m:sty m:val="p"/>
              </m:rPr>
              <m:t>+</m:t>
            </m:r>
            <m:r>
              <m:t>1</m:t>
            </m:r>
          </m:sub>
        </m:sSub>
      </m:oMath>
      <w:r>
        <w:t xml:space="preserve"> </w:t>
      </w:r>
      <w:r>
        <w:t xml:space="preserve">are obtained by combining our point nowcasts with the estimated overdispersion parameters in a simple plug-in fashion. Specifically, we set</w:t>
      </w:r>
    </w:p>
    <w:p>
      <w:pPr>
        <w:pStyle w:val="BodyText"/>
      </w:pPr>
      <m:oMathPara>
        <m:oMathParaPr>
          <m:jc m:val="center"/>
        </m:oMathParaPr>
        <m:oMath>
          <m:sSub>
            <m:e>
              <m:r>
                <m:t>X</m:t>
              </m:r>
            </m:e>
            <m:sub>
              <m:r>
                <m:t>t</m:t>
              </m:r>
              <m:r>
                <m:rPr>
                  <m:sty m:val="p"/>
                </m:rPr>
                <m:t>,</m:t>
              </m:r>
              <m:r>
                <m:rPr>
                  <m:sty m:val="p"/>
                </m:rPr>
                <m:t>&gt;</m:t>
              </m:r>
              <m:sSup>
                <m:e>
                  <m:r>
                    <m:t>t</m:t>
                  </m:r>
                </m:e>
                <m:sup>
                  <m:r>
                    <m:rPr>
                      <m:sty m:val="p"/>
                    </m:rPr>
                    <m:t>*</m:t>
                  </m:r>
                </m:sup>
              </m:sSup>
              <m:r>
                <m:rPr>
                  <m:sty m:val="p"/>
                </m:rPr>
                <m:t>−</m:t>
              </m:r>
              <m:r>
                <m:t>t</m:t>
              </m:r>
            </m:sub>
          </m:sSub>
          <m:r>
            <m:rPr>
              <m:sty m:val="p"/>
            </m:rPr>
            <m:t>∼</m:t>
          </m:r>
          <m:r>
            <m:rPr>
              <m:nor/>
              <m:sty m:val="p"/>
            </m:rPr>
            <m:t>NegBin</m:t>
          </m:r>
          <m:d>
            <m:dPr>
              <m:begChr m:val="("/>
              <m:endChr m:val=")"/>
              <m:sepChr m:val=""/>
              <m:grow/>
            </m:dPr>
            <m:e>
              <m:sSub>
                <m:e>
                  <m:acc>
                    <m:accPr>
                      <m:chr m:val="̂"/>
                    </m:accPr>
                    <m:e>
                      <m:r>
                        <m:t>x</m:t>
                      </m:r>
                    </m:e>
                  </m:acc>
                </m:e>
                <m:sub>
                  <m:r>
                    <m:t>t</m:t>
                  </m:r>
                  <m:r>
                    <m:rPr>
                      <m:sty m:val="p"/>
                    </m:rPr>
                    <m:t>,</m:t>
                  </m:r>
                  <m:r>
                    <m:rPr>
                      <m:sty m:val="p"/>
                    </m:rPr>
                    <m:t>&gt;</m:t>
                  </m:r>
                  <m:sSup>
                    <m:e>
                      <m:r>
                        <m:t>t</m:t>
                      </m:r>
                    </m:e>
                    <m:sup>
                      <m:r>
                        <m:rPr>
                          <m:sty m:val="p"/>
                        </m:rPr>
                        <m:t>*</m:t>
                      </m:r>
                    </m:sup>
                  </m:sSup>
                  <m:r>
                    <m:rPr>
                      <m:sty m:val="p"/>
                    </m:rPr>
                    <m:t>−</m:t>
                  </m:r>
                  <m:r>
                    <m:t>t</m:t>
                  </m:r>
                </m:sub>
              </m:sSub>
              <m:r>
                <m:rPr>
                  <m:sty m:val="p"/>
                </m:rPr>
                <m:t>,</m:t>
              </m:r>
              <m:sSub>
                <m:e>
                  <m:r>
                    <m:t>ϕ</m:t>
                  </m:r>
                </m:e>
                <m:sub>
                  <m:sSup>
                    <m:e>
                      <m:r>
                        <m:t>t</m:t>
                      </m:r>
                    </m:e>
                    <m:sup>
                      <m:r>
                        <m:rPr>
                          <m:sty m:val="p"/>
                        </m:rPr>
                        <m:t>*</m:t>
                      </m:r>
                    </m:sup>
                  </m:sSup>
                  <m:r>
                    <m:rPr>
                      <m:sty m:val="p"/>
                    </m:rPr>
                    <m:t>−</m:t>
                  </m:r>
                  <m:r>
                    <m:t>t</m:t>
                  </m:r>
                </m:sub>
              </m:sSub>
            </m:e>
          </m:d>
          <m:r>
            <m:rPr>
              <m:sty m:val="p"/>
            </m:rPr>
            <m:t>.</m:t>
          </m:r>
        </m:oMath>
      </m:oMathPara>
    </w:p>
    <w:p>
      <w:pPr>
        <w:pStyle w:val="FirstParagraph"/>
      </w:pPr>
      <w:r>
        <w:t xml:space="preserve">The predictive distribution for</w:t>
      </w:r>
      <w:r>
        <w:t xml:space="preserve"> </w:t>
      </w:r>
      <m:oMath>
        <m:sSub>
          <m:e>
            <m:r>
              <m:t>X</m:t>
            </m:r>
          </m:e>
          <m:sub>
            <m:r>
              <m:t>t</m:t>
            </m:r>
          </m:sub>
        </m:sSub>
      </m:oMath>
      <w:r>
        <w:t xml:space="preserve"> </w:t>
      </w:r>
      <w:r>
        <w:t xml:space="preserve">then results by shifting this distribution by the already known value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w:t>
      </w:r>
    </w:p>
    <w:bookmarkEnd w:id="37"/>
    <w:bookmarkStart w:id="39" w:name="zero-handling-approximation"/>
    <w:p>
      <w:pPr>
        <w:pStyle w:val="Heading3"/>
      </w:pPr>
      <w:r>
        <w:t xml:space="preserve">Zero-handling strategy</w:t>
      </w:r>
    </w:p>
    <w:p>
      <w:pPr>
        <w:pStyle w:val="FirstParagraph"/>
      </w:pPr>
      <w:r>
        <w:t xml:space="preserve">As mentioned in</w:t>
      </w:r>
      <w:r>
        <w:t xml:space="preserve"> </w:t>
      </w:r>
      <w:hyperlink w:anchor="point-nowcast-generation">
        <w:r>
          <w:rPr>
            <w:rStyle w:val="Hyperlink"/>
          </w:rPr>
          <w:t xml:space="preserve">Point nowcast generation</w:t>
        </w:r>
      </w:hyperlink>
      <w:r>
        <w:t xml:space="preserve">, we use a modified point nowcasts to deal with zero values in preliminary counts. We here motivate this approach from a Bayesian perspective, based on the work of</w:t>
      </w:r>
      <w:r>
        <w:t xml:space="preserve"> </w:t>
      </w:r>
      <w:r>
        <w:t xml:space="preserve">(3)</w:t>
      </w:r>
      <w:r>
        <w:t xml:space="preserve">. To this end we assume that</w:t>
      </w:r>
    </w:p>
    <w:p>
      <w:pPr>
        <w:pStyle w:val="BodyText"/>
      </w:pPr>
      <m:oMathPara>
        <m:oMathParaPr>
          <m:jc m:val="center"/>
        </m:oMathParaPr>
        <m:oMath>
          <m:sSub>
            <m:e>
              <m:r>
                <m:t>X</m:t>
              </m:r>
            </m:e>
            <m:sub>
              <m:r>
                <m:t>t</m:t>
              </m:r>
              <m:r>
                <m:rPr>
                  <m:sty m:val="p"/>
                </m:rPr>
                <m:t>,</m:t>
              </m:r>
              <m:r>
                <m:rPr>
                  <m:sty m:val="p"/>
                </m:rPr>
                <m:t>≤</m:t>
              </m:r>
              <m:r>
                <m:t>d</m:t>
              </m:r>
            </m:sub>
          </m:sSub>
          <m:r>
            <m:t> </m:t>
          </m:r>
          <m:r>
            <m:rPr>
              <m:sty m:val="p"/>
            </m:rPr>
            <m:t>∣</m:t>
          </m:r>
          <m:sSub>
            <m:e>
              <m:r>
                <m:t>X</m:t>
              </m:r>
            </m:e>
            <m:sub>
              <m:r>
                <m:t>t</m:t>
              </m:r>
            </m:sub>
          </m:sSub>
          <m:r>
            <m:rPr>
              <m:sty m:val="p"/>
            </m:rPr>
            <m:t>∼</m:t>
          </m:r>
          <m:r>
            <m:rPr>
              <m:nor/>
              <m:sty m:val="p"/>
            </m:rPr>
            <m:t>Bin</m:t>
          </m:r>
          <m:d>
            <m:dPr>
              <m:begChr m:val="("/>
              <m:endChr m:val=")"/>
              <m:sepChr m:val=""/>
              <m:grow/>
            </m:dPr>
            <m:e>
              <m:sSub>
                <m:e>
                  <m:r>
                    <m:t>X</m:t>
                  </m:r>
                </m:e>
                <m:sub>
                  <m:r>
                    <m:t>t</m:t>
                  </m:r>
                </m:sub>
              </m:sSub>
              <m:r>
                <m:rPr>
                  <m:sty m:val="p"/>
                </m:rPr>
                <m:t>,</m:t>
              </m:r>
              <m:nary>
                <m:naryPr>
                  <m:chr m:val="∑"/>
                  <m:limLoc m:val="undOvr"/>
                  <m:subHide m:val="off"/>
                  <m:supHide m:val="off"/>
                </m:naryPr>
                <m:sub>
                  <m:r>
                    <m:t>d</m:t>
                  </m:r>
                  <m:r>
                    <m:rPr>
                      <m:sty m:val="p"/>
                    </m:rPr>
                    <m:t>=</m:t>
                  </m:r>
                  <m:r>
                    <m:t>0</m:t>
                  </m:r>
                </m:sub>
                <m:sup>
                  <m:r>
                    <m:t>d</m:t>
                  </m:r>
                </m:sup>
                <m:e>
                  <m:sSub>
                    <m:e>
                      <m:r>
                        <m:t>π</m:t>
                      </m:r>
                    </m:e>
                    <m:sub>
                      <m:r>
                        <m:t>t</m:t>
                      </m:r>
                    </m:sub>
                  </m:sSub>
                </m:e>
              </m:nary>
            </m:e>
          </m:d>
          <m:r>
            <m:rPr>
              <m:sty m:val="p"/>
            </m:rPr>
            <m:t>.</m:t>
          </m:r>
        </m:oMath>
      </m:oMathPara>
    </w:p>
    <w:p>
      <w:pPr>
        <w:pStyle w:val="FirstParagraph"/>
      </w:pPr>
      <w:r>
        <w:t xml:space="preserve">We are now interested in the conditional expectation</w:t>
      </w:r>
    </w:p>
    <w:p>
      <w:pPr>
        <w:pStyle w:val="BodyText"/>
      </w:pPr>
      <m:oMathPara>
        <m:oMathParaPr>
          <m:jc m:val="center"/>
        </m:oMathParaPr>
        <m:oMath>
          <m:r>
            <m:rPr>
              <m:sty m:val="p"/>
              <m:scr m:val="double-struck"/>
            </m:rPr>
            <m:t>E</m:t>
          </m:r>
          <m:d>
            <m:dPr>
              <m:begChr m:val="("/>
              <m:endChr m:val=")"/>
              <m:sepChr m:val=""/>
              <m:grow/>
            </m:dPr>
            <m:e>
              <m:sSub>
                <m:e>
                  <m:r>
                    <m:t>X</m:t>
                  </m:r>
                </m:e>
                <m:sub>
                  <m:r>
                    <m:t>t</m:t>
                  </m:r>
                </m:sub>
              </m:sSub>
              <m:r>
                <m:t> </m:t>
              </m:r>
              <m:r>
                <m:rPr>
                  <m:sty m:val="p"/>
                </m:rPr>
                <m:t>∣</m:t>
              </m:r>
              <m:sSub>
                <m:e>
                  <m:r>
                    <m:t>X</m:t>
                  </m:r>
                </m:e>
                <m:sub>
                  <m:r>
                    <m:t>t</m:t>
                  </m:r>
                  <m:r>
                    <m:rPr>
                      <m:sty m:val="p"/>
                    </m:rPr>
                    <m:t>,</m:t>
                  </m:r>
                  <m:r>
                    <m:rPr>
                      <m:sty m:val="p"/>
                    </m:rPr>
                    <m:t>≤</m:t>
                  </m:r>
                  <m:r>
                    <m:t>d</m:t>
                  </m:r>
                </m:sub>
              </m:sSub>
            </m:e>
          </m:d>
        </m:oMath>
      </m:oMathPara>
    </w:p>
    <w:p>
      <w:pPr>
        <w:pStyle w:val="FirstParagraph"/>
      </w:pPr>
      <w:r>
        <w:t xml:space="preserve">in this binomial subsampling problem. We will derive it under the improper prior distribution</w:t>
      </w:r>
    </w:p>
    <w:p>
      <w:pPr>
        <w:pStyle w:val="BodyText"/>
      </w:pPr>
      <m:oMathPara>
        <m:oMathParaPr>
          <m:jc m:val="center"/>
        </m:oMathParaPr>
        <m:oMath>
          <m:sSub>
            <m:e>
              <m:r>
                <m:t>X</m:t>
              </m:r>
            </m:e>
            <m:sub>
              <m:r>
                <m:t>t</m:t>
              </m:r>
            </m:sub>
          </m:sSub>
          <m:r>
            <m:rPr>
              <m:sty m:val="p"/>
            </m:rPr>
            <m:t>∼</m:t>
          </m:r>
          <m:r>
            <m:rPr>
              <m:nor/>
              <m:sty m:val="p"/>
            </m:rPr>
            <m:t>DiscreteUniform</m:t>
          </m:r>
          <m:d>
            <m:dPr>
              <m:begChr m:val="("/>
              <m:endChr m:val=")"/>
              <m:sepChr m:val=""/>
              <m:grow/>
            </m:dPr>
            <m:e>
              <m:r>
                <m:t>0</m:t>
              </m:r>
              <m:r>
                <m:rPr>
                  <m:sty m:val="p"/>
                </m:rPr>
                <m:t>,</m:t>
              </m:r>
              <m:r>
                <m:t>1</m:t>
              </m:r>
              <m:r>
                <m:rPr>
                  <m:sty m:val="p"/>
                </m:rPr>
                <m:t>,</m:t>
              </m:r>
              <m:r>
                <m:t>2</m:t>
              </m:r>
              <m:r>
                <m:rPr>
                  <m:sty m:val="p"/>
                </m:rPr>
                <m:t>,</m:t>
              </m:r>
              <m:r>
                <m:rPr>
                  <m:sty m:val="p"/>
                </m:rPr>
                <m:t>…</m:t>
              </m:r>
            </m:e>
          </m:d>
          <m:r>
            <m:rPr>
              <m:sty m:val="p"/>
            </m:rPr>
            <m:t>.</m:t>
          </m:r>
        </m:oMath>
      </m:oMathPara>
    </w:p>
    <w:p>
      <w:pPr>
        <w:pStyle w:val="FirstParagraph"/>
      </w:pPr>
      <w:r>
        <w:t xml:space="preserve">For notational simplicity and readability for the following, we substitute</w:t>
      </w:r>
      <w:r>
        <w:t xml:space="preserve"> </w:t>
      </w:r>
      <m:oMath>
        <m:r>
          <m:t>N</m:t>
        </m:r>
        <m:r>
          <m:rPr>
            <m:sty m:val="p"/>
          </m:rPr>
          <m:t>=</m:t>
        </m:r>
        <m:sSub>
          <m:e>
            <m:r>
              <m:t>X</m:t>
            </m:r>
          </m:e>
          <m:sub>
            <m:r>
              <m:t>t</m:t>
            </m:r>
          </m:sub>
        </m:sSub>
      </m:oMath>
      <w:r>
        <w:t xml:space="preserve">,</w:t>
      </w:r>
      <w:r>
        <w:t xml:space="preserve"> </w:t>
      </w:r>
      <m:oMath>
        <m:r>
          <m:t>Y</m:t>
        </m:r>
        <m:r>
          <m:rPr>
            <m:sty m:val="p"/>
          </m:rPr>
          <m:t>=</m:t>
        </m:r>
        <m:sSub>
          <m:e>
            <m:r>
              <m:t>X</m:t>
            </m:r>
          </m:e>
          <m:sub>
            <m:r>
              <m:t>t</m:t>
            </m:r>
            <m:r>
              <m:rPr>
                <m:sty m:val="p"/>
              </m:rPr>
              <m:t>,</m:t>
            </m:r>
            <m:r>
              <m:rPr>
                <m:sty m:val="p"/>
              </m:rPr>
              <m:t>≥</m:t>
            </m:r>
            <m:r>
              <m:t>d</m:t>
            </m:r>
          </m:sub>
        </m:sSub>
      </m:oMath>
      <w:r>
        <w:t xml:space="preserve"> </w:t>
      </w:r>
      <w:r>
        <w:t xml:space="preserve">and</w:t>
      </w:r>
      <w:r>
        <w:t xml:space="preserve"> </w:t>
      </w:r>
      <m:oMath>
        <m:r>
          <m:t>p</m:t>
        </m:r>
        <m:r>
          <m:rPr>
            <m:sty m:val="p"/>
          </m:rPr>
          <m:t>=</m:t>
        </m:r>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and are thus looking for</w:t>
      </w:r>
      <w:r>
        <w:t xml:space="preserve"> </w:t>
      </w:r>
      <m:oMath>
        <m:r>
          <m:rPr>
            <m:sty m:val="p"/>
            <m:scr m:val="double-struck"/>
          </m:rPr>
          <m:t>E</m:t>
        </m:r>
        <m:d>
          <m:dPr>
            <m:begChr m:val="("/>
            <m:endChr m:val=")"/>
            <m:sepChr m:val=""/>
            <m:grow/>
          </m:dPr>
          <m:e>
            <m:r>
              <m:t>N</m:t>
            </m:r>
            <m:r>
              <m:rPr>
                <m:sty m:val="p"/>
              </m:rPr>
              <m:t>|</m:t>
            </m:r>
            <m:r>
              <m:t>Y</m:t>
            </m:r>
            <m:r>
              <m:rPr>
                <m:sty m:val="p"/>
              </m:rPr>
              <m:t>=</m:t>
            </m:r>
            <m:r>
              <m:t>y</m:t>
            </m:r>
          </m:e>
        </m:d>
      </m:oMath>
      <w:r>
        <w:t xml:space="preserve"> </w:t>
      </w:r>
      <w:r>
        <w:t xml:space="preserve">if</w:t>
      </w:r>
      <w:r>
        <w:t xml:space="preserve"> </w:t>
      </w:r>
      <m:oMath>
        <m:r>
          <m:t>Y</m:t>
        </m:r>
        <m:r>
          <m:rPr>
            <m:sty m:val="p"/>
          </m:rPr>
          <m:t>∼</m:t>
        </m:r>
        <m:r>
          <m:rPr>
            <m:nor/>
            <m:sty m:val="p"/>
          </m:rPr>
          <m:t>Bin</m:t>
        </m:r>
        <m:d>
          <m:dPr>
            <m:begChr m:val="("/>
            <m:endChr m:val=")"/>
            <m:sepChr m:val=""/>
            <m:grow/>
          </m:dPr>
          <m:e>
            <m:r>
              <m:t>N</m:t>
            </m:r>
            <m:r>
              <m:rPr>
                <m:sty m:val="p"/>
              </m:rPr>
              <m:t>,</m:t>
            </m:r>
            <m:r>
              <m:t>p</m:t>
            </m:r>
          </m:e>
        </m:d>
      </m:oMath>
      <w:r>
        <w:t xml:space="preserve"> </w:t>
      </w:r>
      <w:r>
        <w:t xml:space="preserve">with a discrete uniform prior on</w:t>
      </w:r>
      <w:r>
        <w:t xml:space="preserve"> </w:t>
      </w:r>
      <m:oMath>
        <m:r>
          <m:t>N</m:t>
        </m:r>
      </m:oMath>
      <w:r>
        <w:t xml:space="preserve">. This expectation can be written out as:</w:t>
      </w:r>
    </w:p>
    <w:p>
      <w:pPr>
        <w:pStyle w:val="BodyText"/>
      </w:pPr>
      <w:bookmarkStart w:id="38" w:name="eq-expectation"/>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0</m:t>
              </m:r>
            </m:sub>
            <m:sup>
              <m:r>
                <m:rPr>
                  <m:sty m:val="p"/>
                </m:rPr>
                <m:t>∞</m:t>
              </m:r>
            </m:sup>
            <m:e>
              <m:r>
                <m:rPr>
                  <m:nor/>
                  <m:sty m:val="p"/>
                </m:rPr>
                <m:t>Pr</m:t>
              </m:r>
            </m:e>
          </m:nary>
          <m:d>
            <m:dPr>
              <m:begChr m:val="("/>
              <m:endChr m:val=")"/>
              <m:sepChr m:val=""/>
              <m:grow/>
            </m:dPr>
            <m:e>
              <m:r>
                <m:t>N</m:t>
              </m:r>
              <m:r>
                <m:rPr>
                  <m:sty m:val="p"/>
                </m:rPr>
                <m:t>=</m:t>
              </m:r>
              <m:r>
                <m:t>n</m:t>
              </m:r>
              <m:r>
                <m:rPr>
                  <m:sty m:val="p"/>
                </m:rPr>
                <m:t>|</m:t>
              </m:r>
              <m:r>
                <m:t>Y</m:t>
              </m:r>
              <m:r>
                <m:rPr>
                  <m:sty m:val="p"/>
                </m:rPr>
                <m:t>=</m:t>
              </m:r>
              <m:r>
                <m:t>y</m:t>
              </m:r>
            </m:e>
          </m:d>
          <m:r>
            <m:rPr>
              <m:sty m:val="p"/>
            </m:rPr>
            <m:t>×</m:t>
          </m:r>
          <m:r>
            <m:t>n</m:t>
          </m:r>
          <m:r>
            <m:t>  </m:t>
          </m:r>
          <m:d>
            <m:dPr>
              <m:begChr m:val="("/>
              <m:endChr m:val=")"/>
              <m:sepChr m:val=""/>
              <m:grow/>
            </m:dPr>
            <m:e>
              <m:r>
                <m:t>8</m:t>
              </m:r>
            </m:e>
          </m:d>
        </m:oMath>
      </m:oMathPara>
      <w:bookmarkEnd w:id="38"/>
    </w:p>
    <w:p>
      <w:pPr>
        <w:pStyle w:val="FirstParagraph"/>
      </w:pPr>
      <w:r>
        <w:t xml:space="preserve">Applying Bayes Theorem we have</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r>
                <m:rPr>
                  <m:nor/>
                  <m:sty m:val="p"/>
                </m:rPr>
                <m:t>Pr</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r>
                <m:rPr>
                  <m:sty m:val="p"/>
                </m:rPr>
                <m:t>×</m:t>
              </m:r>
              <m:r>
                <m:rPr>
                  <m:nor/>
                  <m:sty m:val="p"/>
                </m:rPr>
                <m:t>Pr</m:t>
              </m:r>
              <m:d>
                <m:dPr>
                  <m:begChr m:val="("/>
                  <m:endChr m:val=")"/>
                  <m:sepChr m:val=""/>
                  <m:grow/>
                </m:dPr>
                <m:e>
                  <m:r>
                    <m:t>N</m:t>
                  </m:r>
                  <m:r>
                    <m:rPr>
                      <m:sty m:val="p"/>
                    </m:rPr>
                    <m:t>=</m:t>
                  </m:r>
                  <m:r>
                    <m:t>i</m:t>
                  </m:r>
                </m:e>
              </m:d>
            </m:den>
          </m:f>
          <m:r>
            <m:rPr>
              <m:sty m:val="p"/>
            </m:rPr>
            <m:t>.</m:t>
          </m:r>
        </m:oMath>
      </m:oMathPara>
    </w:p>
    <w:p>
      <w:pPr>
        <w:pStyle w:val="FirstParagraph"/>
      </w:pPr>
      <w:r>
        <w:t xml:space="preserve">Because</w:t>
      </w:r>
      <w:r>
        <w:t xml:space="preserve"> </w:t>
      </w:r>
      <m:oMath>
        <m:r>
          <m:rPr>
            <m:nor/>
            <m:sty m:val="p"/>
          </m:rPr>
          <m:t>Pr</m:t>
        </m:r>
        <m:d>
          <m:dPr>
            <m:begChr m:val="("/>
            <m:endChr m:val=")"/>
            <m:sepChr m:val=""/>
            <m:grow/>
          </m:dPr>
          <m:e>
            <m:r>
              <m:t>N</m:t>
            </m:r>
            <m:r>
              <m:rPr>
                <m:sty m:val="p"/>
              </m:rPr>
              <m:t>=</m:t>
            </m:r>
            <m:r>
              <m:t>n</m:t>
            </m:r>
          </m:e>
        </m:d>
      </m:oMath>
      <w:r>
        <w:t xml:space="preserve"> </w:t>
      </w:r>
      <w:r>
        <w:t xml:space="preserve">is a constant this simplifies to</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den>
          </m:f>
          <m:r>
            <m:rPr>
              <m:sty m:val="p"/>
            </m:rPr>
            <m:t>.</m:t>
          </m:r>
        </m:oMath>
      </m:oMathPara>
    </w:p>
    <w:p>
      <w:pPr>
        <w:pStyle w:val="FirstParagraph"/>
      </w:pPr>
      <w:r>
        <w:t xml:space="preserve">Now substituting the probability mass function of the binomial distribution</w:t>
      </w:r>
    </w:p>
    <w:p>
      <w:pPr>
        <w:pStyle w:val="BodyText"/>
      </w:pPr>
      <m:oMathPara>
        <m:oMathParaPr>
          <m:jc m:val="center"/>
        </m:oMathParaPr>
        <m:oMath>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oMath>
      </m:oMathPara>
    </w:p>
    <w:p>
      <w:pPr>
        <w:pStyle w:val="FirstParagraph"/>
      </w:pP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Plugging this into</w:t>
      </w:r>
      <w:r>
        <w:t xml:space="preserve"> </w:t>
      </w:r>
      <w:r>
        <w:t xml:space="preserve"> </w:t>
      </w:r>
      <w:r>
        <w:t xml:space="preserve">we get the following (omitting terms for</w:t>
      </w:r>
      <w:r>
        <w:t xml:space="preserve"> </w:t>
      </w:r>
      <m:oMath>
        <m:r>
          <m:t>n</m:t>
        </m:r>
        <m:r>
          <m:rPr>
            <m:sty m:val="p"/>
          </m:rPr>
          <m:t>&lt;</m:t>
        </m:r>
        <m:r>
          <m:t>y</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y</m:t>
              </m:r>
            </m:sub>
            <m:sup>
              <m:r>
                <m:rPr>
                  <m:sty m:val="p"/>
                </m:rPr>
                <m:t>∞</m:t>
              </m:r>
            </m:sup>
            <m:e>
              <m:r>
                <m:t>n</m:t>
              </m:r>
            </m:e>
          </m:nary>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This is equivalent to</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nary>
                <m:naryPr>
                  <m:chr m:val="∑"/>
                  <m:limLoc m:val="undOvr"/>
                  <m:subHide m:val="off"/>
                  <m:supHide m:val="off"/>
                </m:naryPr>
                <m:sub>
                  <m:r>
                    <m:t>n</m:t>
                  </m:r>
                  <m:r>
                    <m:rPr>
                      <m:sty m:val="p"/>
                    </m:rPr>
                    <m:t>=</m:t>
                  </m:r>
                  <m:r>
                    <m:t>y</m:t>
                  </m:r>
                </m:sub>
                <m:sup>
                  <m:r>
                    <m:rPr>
                      <m:sty m:val="p"/>
                    </m:rPr>
                    <m:t>∞</m:t>
                  </m:r>
                </m:sup>
                <m:e>
                  <m:r>
                    <m:t>n</m:t>
                  </m:r>
                </m:e>
              </m:nary>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r>
            <m:rPr>
              <m:sty m:val="p"/>
            </m:rPr>
            <m:t>.</m:t>
          </m:r>
        </m:oMath>
      </m:oMathPara>
    </w:p>
    <w:p>
      <w:pPr>
        <w:pStyle w:val="FirstParagraph"/>
      </w:pPr>
      <w:r>
        <w:t xml:space="preserve">Both the numerator and the denominator are known convergent series, with solutions available in standard libraries like Mathematica</w:t>
      </w:r>
      <w:r>
        <w:t xml:space="preserve"> </w:t>
      </w:r>
      <w:r>
        <w:t xml:space="preserve">(4)</w:t>
      </w:r>
      <w:r>
        <w:t xml:space="preserve">. We then get</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d>
                <m:dPr>
                  <m:begChr m:val="("/>
                  <m:endChr m:val=")"/>
                  <m:sepChr m:val=""/>
                  <m:grow/>
                </m:dPr>
                <m:e>
                  <m:r>
                    <m:t>y</m:t>
                  </m:r>
                  <m:r>
                    <m:rPr>
                      <m:sty m:val="p"/>
                    </m:rPr>
                    <m:t>+</m:t>
                  </m:r>
                  <m:r>
                    <m:t>1</m:t>
                  </m:r>
                  <m:r>
                    <m:rPr>
                      <m:sty m:val="p"/>
                    </m:rPr>
                    <m:t>−</m:t>
                  </m:r>
                  <m:r>
                    <m:t>p</m:t>
                  </m:r>
                </m:e>
              </m:d>
              <m:r>
                <m:rPr>
                  <m:sty m:val="p"/>
                </m:rPr>
                <m:t>/</m:t>
              </m:r>
              <m:sSup>
                <m:e>
                  <m:r>
                    <m:t>p</m:t>
                  </m:r>
                </m:e>
                <m:sup>
                  <m:r>
                    <m:t>2</m:t>
                  </m:r>
                </m:sup>
              </m:sSup>
            </m:num>
            <m:den>
              <m:r>
                <m:t>1</m:t>
              </m:r>
              <m:r>
                <m:rPr>
                  <m:sty m:val="p"/>
                </m:rPr>
                <m:t>/</m:t>
              </m:r>
              <m:r>
                <m:t>p</m:t>
              </m:r>
            </m:den>
          </m:f>
          <m:r>
            <m:rPr>
              <m:sty m:val="p"/>
            </m:rPr>
            <m:t>=</m:t>
          </m:r>
          <m:f>
            <m:fPr>
              <m:type m:val="bar"/>
            </m:fPr>
            <m:num>
              <m:r>
                <m:t>y</m:t>
              </m:r>
              <m:r>
                <m:rPr>
                  <m:sty m:val="p"/>
                </m:rPr>
                <m:t>+</m:t>
              </m:r>
              <m:r>
                <m:t>1</m:t>
              </m:r>
              <m:r>
                <m:rPr>
                  <m:sty m:val="p"/>
                </m:rPr>
                <m:t>−</m:t>
              </m:r>
              <m:r>
                <m:t>p</m:t>
              </m:r>
            </m:num>
            <m:den>
              <m:r>
                <m:t>p</m:t>
              </m:r>
            </m:den>
          </m:f>
          <m:r>
            <m:rPr>
              <m:sty m:val="p"/>
            </m:rPr>
            <m:t>,</m:t>
          </m:r>
        </m:oMath>
      </m:oMathPara>
    </w:p>
    <w:p>
      <w:pPr>
        <w:pStyle w:val="FirstParagraph"/>
      </w:pPr>
      <w:r>
        <w:t xml:space="preserve">which corresponds to the corrected point estimate provided in equation</w:t>
      </w:r>
      <w:r>
        <w:t xml:space="preserve"> </w:t>
      </w:r>
      <w:hyperlink w:anchor="eq-correction">
        <w:r>
          <w:rPr>
            <w:rStyle w:val="Hyperlink"/>
          </w:rPr>
          <w:t xml:space="preserve">Equation 5</w:t>
        </w:r>
      </w:hyperlink>
      <w:r>
        <w:t xml:space="preserve">.</w:t>
      </w:r>
    </w:p>
    <w:bookmarkEnd w:id="39"/>
    <w:bookmarkStart w:id="40"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value that in some cases is eventually observed, rather than beign excluded as they should have been. This has the impact of inflating the dispersion estimates, and may explain why the KIT simple nowcast method in Wolffram et al.</w:t>
      </w:r>
      <w:r>
        <w:t xml:space="preserve"> </w:t>
      </w:r>
      <w:r>
        <w:t xml:space="preserve">(1)</w:t>
      </w:r>
      <w:r>
        <w:t xml:space="preserve"> </w:t>
      </w:r>
      <w:r>
        <w:t xml:space="preserve">overcovers relative to the other methods. In the latest implementation in the RESPINOW Hub</w:t>
      </w:r>
      <w:r>
        <w:t xml:space="preserve"> </w:t>
      </w:r>
      <w:r>
        <w:t xml:space="preserve">(5)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(6)</w:t>
      </w:r>
      <w:r>
        <w:t xml:space="preserve"> </w:t>
      </w:r>
      <w:r>
        <w:t xml:space="preserve">and generated retrospective nowcasts, referring to these in the main text and supplement as the KIT simple nowcast revised. To facilitate a fair comparison to the original implementation, we also reran the original implementation on the same pre-processed reporting triangle and present those results below, with the original implementation labeled as “KIT simple nowcast original:.</w:t>
      </w:r>
    </w:p>
    <w:bookmarkEnd w:id="40"/>
    <w:bookmarkEnd w:id="41"/>
    <w:bookmarkStart w:id="94" w:name="additional-figures"/>
    <w:p>
      <w:pPr>
        <w:pStyle w:val="Heading2"/>
      </w:pPr>
      <w:r>
        <w:t xml:space="preserve">Additional figures</w:t>
      </w:r>
    </w:p>
    <w:bookmarkStart w:id="48" w:name="X2c8b2409d29f680391a048381752fd6963b166b"/>
    <w:p>
      <w:pPr>
        <w:pStyle w:val="Heading3"/>
      </w:pPr>
      <w:r>
        <w:t xml:space="preserve">German COVID-19 Nowcast Hub validation: using the original KIT simple nowcast implementation</w:t>
      </w:r>
    </w:p>
    <w:p>
      <w:pPr>
        <w:pStyle w:val="CaptionedFigure"/>
      </w:pPr>
      <w:r>
        <w:drawing>
          <wp:inline>
            <wp:extent cx="5334000" cy="3556000"/>
            <wp:effectExtent b="0" l="0" r="0" t="0"/>
            <wp:docPr descr="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43" name="Picture"/>
            <a:graphic>
              <a:graphicData uri="http://schemas.openxmlformats.org/drawingml/2006/picture">
                <pic:pic>
                  <pic:nvPicPr>
                    <pic:cNvPr descr="../output/figs/supp/fig_hub_validation_KIT_original.pn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urs indicate model." title="" id="46" name="Picture"/>
            <a:graphic>
              <a:graphicData uri="http://schemas.openxmlformats.org/drawingml/2006/picture">
                <pic:pic>
                  <pic:nvPicPr>
                    <pic:cNvPr descr="../output/figs/supp/bar_chart_cov_ag_rt.png" id="47"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colours indicate model.</w:t>
      </w:r>
    </w:p>
    <w:bookmarkEnd w:id="48"/>
    <w:bookmarkStart w:id="67" w:name="german-nowcast-hub-validation"/>
    <w:p>
      <w:pPr>
        <w:pStyle w:val="Heading3"/>
      </w:pPr>
      <w:r>
        <w:t xml:space="preserve">German Nowcast Hub validation</w:t>
      </w:r>
    </w:p>
    <w:p>
      <w:pPr>
        <w:pStyle w:val="CaptionedFigure"/>
      </w:pPr>
      <w:r>
        <w:drawing>
          <wp:inline>
            <wp:extent cx="5334000" cy="4267200"/>
            <wp:effectExtent b="0" l="0" r="0" t="0"/>
            <wp:docPr descr="Fig. S3 Relative WIS by age group of baselinenowcast compared to KIT simple nowcast revised. Vertical line at 1.0 indicates parity with KIT simple nowcast revised." title="" id="50" name="Picture"/>
            <a:graphic>
              <a:graphicData uri="http://schemas.openxmlformats.org/drawingml/2006/picture">
                <pic:pic>
                  <pic:nvPicPr>
                    <pic:cNvPr descr="../output/figs/supp/rel_wis_by_age_group.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KIT simple nowcast revised. Vertical line at 1.0 indicates parity with KIT simple nowcast revised.</w:t>
      </w:r>
    </w:p>
    <w:p>
      <w:pPr>
        <w:pStyle w:val="CaptionedFigure"/>
      </w:pPr>
      <w:r>
        <w:drawing>
          <wp:inline>
            <wp:extent cx="5334000" cy="4267200"/>
            <wp:effectExtent b="0" l="0" r="0" t="0"/>
            <wp:docPr descr="Fig. S4 Mean WIS by nowcast horizon for each model. colours indicate models." title="" id="53" name="Picture"/>
            <a:graphic>
              <a:graphicData uri="http://schemas.openxmlformats.org/drawingml/2006/picture">
                <pic:pic>
                  <pic:nvPicPr>
                    <pic:cNvPr descr="../output/figs/supp/mean_wis_by_horizon_ag.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colours indicate models.</w:t>
      </w:r>
    </w:p>
    <w:p>
      <w:pPr>
        <w:pStyle w:val="CaptionedFigure"/>
      </w:pPr>
      <w:r>
        <w:drawing>
          <wp:inline>
            <wp:extent cx="5334000" cy="4267200"/>
            <wp:effectExtent b="0" l="0" r="0" t="0"/>
            <wp:docPr descr="Fig. S5 Relative WIS of baselinenowcast horizon compared to KIT simple nowcast revised." title="" id="56" name="Picture"/>
            <a:graphic>
              <a:graphicData uri="http://schemas.openxmlformats.org/drawingml/2006/picture">
                <pic:pic>
                  <pic:nvPicPr>
                    <pic:cNvPr descr="../output/figs/supp/rel_wis_by_horizon_ag.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KIT simple nowcast revised.</w:t>
      </w:r>
    </w:p>
    <w:p>
      <w:pPr>
        <w:pStyle w:val="CaptionedFigure"/>
      </w:pPr>
      <w:r>
        <w:drawing>
          <wp:inline>
            <wp:extent cx="5334000" cy="2133600"/>
            <wp:effectExtent b="0" l="0" r="0" t="0"/>
            <wp:docPr descr="Fig. S6 Empirical coverage at 50% and 95% prediction intervals. Shading indicates prediction intervals, colour indicates models, vertical lines indicate the target prediction intervals." title="" id="59" name="Picture"/>
            <a:graphic>
              <a:graphicData uri="http://schemas.openxmlformats.org/drawingml/2006/picture">
                <pic:pic>
                  <pic:nvPicPr>
                    <pic:cNvPr descr="../output/figs/supp/bar_chart_cov_ag.png" id="60" name="Picture"/>
                    <pic:cNvPicPr>
                      <a:picLocks noChangeArrowheads="1" noChangeAspect="1"/>
                    </pic:cNvPicPr>
                  </pic:nvPicPr>
                  <pic:blipFill>
                    <a:blip r:embed="rId5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colour indicates models, vertical lines indicate the target prediction intervals.</w:t>
      </w:r>
    </w:p>
    <w:p>
      <w:pPr>
        <w:pStyle w:val="CaptionedFigure"/>
      </w:pPr>
      <w:r>
        <w:drawing>
          <wp:inline>
            <wp:extent cx="5334000" cy="4267200"/>
            <wp:effectExtent b="0" l="0" r="0" t="0"/>
            <wp:docPr descr="Fig.S7 Empirical coverage at 50% and 95% prediction intervals by horizon for each model. colours indicate models, horizontal lines indicate the target prediction intervals in each subplot." title="" id="62" name="Picture"/>
            <a:graphic>
              <a:graphicData uri="http://schemas.openxmlformats.org/drawingml/2006/picture">
                <pic:pic>
                  <pic:nvPicPr>
                    <pic:cNvPr descr="../output/figs/supp/cov_by_horizon_ag.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colours indicate models, horizontal lines indicate the target prediction intervals in each subplot.</w:t>
      </w:r>
    </w:p>
    <w:p>
      <w:pPr>
        <w:pStyle w:val="CaptionedFigure"/>
      </w:pPr>
      <w:r>
        <w:drawing>
          <wp:inline>
            <wp:extent cx="5334000" cy="2667000"/>
            <wp:effectExtent b="0" l="0" r="0" t="0"/>
            <wp:docPr descr="Fig S8. Empirical coverage at 50% and 95% prediction intervals by age group for each model. Shading indicates prediction intervals, colour indicates models, vertical lines indicate the target prediction intervals." title="" id="65" name="Picture"/>
            <a:graphic>
              <a:graphicData uri="http://schemas.openxmlformats.org/drawingml/2006/picture">
                <pic:pic>
                  <pic:nvPicPr>
                    <pic:cNvPr descr="../output/figs/supp/cov_by_age_group.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colour indicates models, vertical lines indicate the target prediction intervals.</w:t>
      </w:r>
    </w:p>
    <w:bookmarkEnd w:id="67"/>
    <w:bookmarkStart w:id="80" w:name="Xe07d844dce70fa1f0091252f89ee494a398b657"/>
    <w:p>
      <w:pPr>
        <w:pStyle w:val="Heading3"/>
      </w:pPr>
      <w:r>
        <w:t xml:space="preserve">Performance of different baselinenowcast model specifications applied to German COVID-19 data</w:t>
      </w:r>
    </w:p>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69" name="Picture"/>
            <a:graphic>
              <a:graphicData uri="http://schemas.openxmlformats.org/drawingml/2006/picture">
                <pic:pic>
                  <pic:nvPicPr>
                    <pic:cNvPr descr="../output/figs/supp/mp_wis_by_horizon.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72" name="Picture"/>
            <a:graphic>
              <a:graphicData uri="http://schemas.openxmlformats.org/drawingml/2006/picture">
                <pic:pic>
                  <pic:nvPicPr>
                    <pic:cNvPr descr="../output/figs/supp/mp_wis_by_age_group.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p>
      <w:pPr>
        <w:pStyle w:val="CaptionedFigure"/>
      </w:pPr>
      <w:r>
        <w:drawing>
          <wp:inline>
            <wp:extent cx="5334000" cy="2133600"/>
            <wp:effectExtent b="0" l="0" r="0" t="0"/>
            <wp:docPr descr="Fig S11. Absolute WIS over time (by week) for each model configuration. Colour indicates model configuration, shading indicates WIS decomposed by dispersion, overprediction, and underprediction." title="" id="75" name="Picture"/>
            <a:graphic>
              <a:graphicData uri="http://schemas.openxmlformats.org/drawingml/2006/picture">
                <pic:pic>
                  <pic:nvPicPr>
                    <pic:cNvPr descr="../output/figs/supp/mp_wis_by_nowcast_week.png" id="76" name="Picture"/>
                    <pic:cNvPicPr>
                      <a:picLocks noChangeArrowheads="1" noChangeAspect="1"/>
                    </pic:cNvPicPr>
                  </pic:nvPicPr>
                  <pic:blipFill>
                    <a:blip r:embed="rId7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p>
      <w:pPr>
        <w:pStyle w:val="CaptionedFigure"/>
      </w:pPr>
      <w:r>
        <w:drawing>
          <wp:inline>
            <wp:extent cx="5334000" cy="5334000"/>
            <wp:effectExtent b="0" l="0" r="0" t="0"/>
            <wp:docPr descr="Fig S12. Relative WIS over time across all age groups for each model configuration. Colours indicate model configuration. Horizontal dashed line indicates parity with the default configuration." title="" id="78" name="Picture"/>
            <a:graphic>
              <a:graphicData uri="http://schemas.openxmlformats.org/drawingml/2006/picture">
                <pic:pic>
                  <pic:nvPicPr>
                    <pic:cNvPr descr="../output/figs/supp/rel_wis_over_time_mp_all_ag.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80"/>
    <w:bookmarkStart w:id="93" w:name="case-study-ukhsa-norovirus-surveillance"/>
    <w:p>
      <w:pPr>
        <w:pStyle w:val="Heading3"/>
      </w:pPr>
      <w:r>
        <w:t xml:space="preserve">Case study: UKHSA norovirus surveillance</w:t>
      </w:r>
    </w:p>
    <w:p>
      <w:pPr>
        <w:pStyle w:val="CaptionedFigure"/>
      </w:pPr>
      <w:r>
        <w:drawing>
          <wp:inline>
            <wp:extent cx="5334000" cy="1524000"/>
            <wp:effectExtent b="0" l="0" r="0" t="0"/>
            <wp:docPr descr="Fig S13. Absolute WIS over time (by week) for each model. colour indicates model, shading indicates WIS broken down by dispersion, overprediction, and underprediction." title="" id="82" name="Picture"/>
            <a:graphic>
              <a:graphicData uri="http://schemas.openxmlformats.org/drawingml/2006/picture">
                <pic:pic>
                  <pic:nvPicPr>
                    <pic:cNvPr descr="../output/figs/supp/wis_over_time_noro.png" id="83" name="Picture"/>
                    <pic:cNvPicPr>
                      <a:picLocks noChangeArrowheads="1" noChangeAspect="1"/>
                    </pic:cNvPicPr>
                  </pic:nvPicPr>
                  <pic:blipFill>
                    <a:blip r:embed="rId8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colour indicates model, shading indicates WIS broken down by dispersion, overprediction, and underprediction.</w:t>
      </w:r>
    </w:p>
    <w:p>
      <w:pPr>
        <w:pStyle w:val="CaptionedFigure"/>
      </w:pPr>
      <w:r>
        <w:drawing>
          <wp:inline>
            <wp:extent cx="5334000" cy="3556000"/>
            <wp:effectExtent b="0" l="0" r="0" t="0"/>
            <wp:docPr descr="Fig S14. Relative mean delay over time by weekday. colours indicate weekday. Horizontal dashed line at 1 indicates parity with the delay across all weekdays." title="" id="85" name="Picture"/>
            <a:graphic>
              <a:graphicData uri="http://schemas.openxmlformats.org/drawingml/2006/picture">
                <pic:pic>
                  <pic:nvPicPr>
                    <pic:cNvPr descr="../output/figs/supp/rel_mean_delay_over_time_noro.png" id="86"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colours indicate weekday. Horizontal dashed line at 1 indicates parity with the delay across all weekdays.</w:t>
      </w:r>
    </w:p>
    <w:p>
      <w:pPr>
        <w:pStyle w:val="CaptionedFigure"/>
      </w:pPr>
      <w:r>
        <w:drawing>
          <wp:inline>
            <wp:extent cx="5334000" cy="3556000"/>
            <wp:effectExtent b="0" l="0" r="0" t="0"/>
            <wp:docPr descr="Fig S15. Empirical coverage at 50% and 90% prediction intervals for each model. colour indicates model, shading indicates prediction interval coverage, horizontal dashed lines indicate target prediction intervals." title="" id="88" name="Picture"/>
            <a:graphic>
              <a:graphicData uri="http://schemas.openxmlformats.org/drawingml/2006/picture">
                <pic:pic>
                  <pic:nvPicPr>
                    <pic:cNvPr descr="../output/figs/supp/noro_coverage.png" id="89"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colour indicates model, shading indicates prediction interval coverage, horizontal dashed lines indicate target prediction intervals.</w:t>
      </w:r>
    </w:p>
    <w:p>
      <w:pPr>
        <w:pStyle w:val="CaptionedFigure"/>
      </w:pPr>
      <w:r>
        <w:drawing>
          <wp:inline>
            <wp:extent cx="5334000" cy="3556000"/>
            <wp:effectExtent b="0" l="0" r="0" t="0"/>
            <wp:docPr descr="Fig S16. Empirical coverage at 50% and 90% prediction intervals by day of week for each model. colours indicate model, shading indicates prediction interval coverage, horizontal dashed lines indicate target prediction intervals." title="" id="91" name="Picture"/>
            <a:graphic>
              <a:graphicData uri="http://schemas.openxmlformats.org/drawingml/2006/picture">
                <pic:pic>
                  <pic:nvPicPr>
                    <pic:cNvPr descr="../output/figs/supp/noro_cov_wday.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colours indicate model, shading indicates prediction interval coverage, horizontal dashed lines indicate target prediction intervals.</w:t>
      </w:r>
    </w:p>
    <w:bookmarkEnd w:id="93"/>
    <w:bookmarkEnd w:id="94"/>
    <w:bookmarkStart w:id="107" w:name="references"/>
    <w:p>
      <w:pPr>
        <w:pStyle w:val="Heading2"/>
      </w:pPr>
      <w:r>
        <w:t xml:space="preserve">References</w:t>
      </w:r>
    </w:p>
    <w:bookmarkStart w:id="106" w:name="refs"/>
    <w:bookmarkStart w:id="96" w:name="ref-Wolffram2023"/>
    <w:p>
      <w:pPr>
        <w:pStyle w:val="Bibliography"/>
      </w:pPr>
      <w:r>
        <w:t xml:space="preserve">1.</w:t>
      </w:r>
      <w:r>
        <w:t xml:space="preserve"> </w:t>
      </w:r>
      <w:r>
        <w:t xml:space="preserve">	</w:t>
      </w:r>
      <w:r>
        <w:t xml:space="preserve">Wolffram D, Abbott S, Heiden M an der, Funk S, Günther F, Hailer D, et al. Collaborative nowcasting of COVID-19 hospitalization incidences in germany. PLOS Computational Biology [Internet]. 2023 Aug;19(8):1–25. Available from:</w:t>
      </w:r>
      <w:r>
        <w:t xml:space="preserve"> </w:t>
      </w:r>
      <w:hyperlink r:id="rId95">
        <w:r>
          <w:rPr>
            <w:rStyle w:val="Hyperlink"/>
          </w:rPr>
          <w:t xml:space="preserve">https://doi.org/10.1371/journal.pcbi.1011394</w:t>
        </w:r>
      </w:hyperlink>
    </w:p>
    <w:bookmarkEnd w:id="96"/>
    <w:bookmarkStart w:id="98" w:name="ref-Friedland2010"/>
    <w:p>
      <w:pPr>
        <w:pStyle w:val="Bibliography"/>
      </w:pPr>
      <w:r>
        <w:t xml:space="preserve">2.</w:t>
      </w:r>
      <w:r>
        <w:t xml:space="preserve"> </w:t>
      </w:r>
      <w:r>
        <w:t xml:space="preserve">	</w:t>
      </w:r>
      <w:r>
        <w:t xml:space="preserve">Friedland J. Estimating unpaid claims using basic techniques. Casualty Actuarial Society. Casualty Actuarial Society,</w:t>
      </w:r>
      <w:r>
        <w:t xml:space="preserve"> </w:t>
      </w:r>
      <w:hyperlink r:id="rId97">
        <w:r>
          <w:rPr>
            <w:rStyle w:val="Hyperlink"/>
          </w:rPr>
          <w:t xml:space="preserve">https://www.casact.org/sites/default/files/database/studynotes_friedland_estimating.pdf</w:t>
        </w:r>
      </w:hyperlink>
      <w:r>
        <w:t xml:space="preserve">; 2010.</w:t>
      </w:r>
      <w:r>
        <w:t xml:space="preserve"> </w:t>
      </w:r>
    </w:p>
    <w:bookmarkEnd w:id="98"/>
    <w:bookmarkStart w:id="99" w:name="ref-Morgenstern2025"/>
    <w:p>
      <w:pPr>
        <w:pStyle w:val="Bibliography"/>
      </w:pPr>
      <w:r>
        <w:t xml:space="preserve">3.</w:t>
      </w:r>
      <w:r>
        <w:t xml:space="preserve"> </w:t>
      </w:r>
      <w:r>
        <w:t xml:space="preserve">	</w:t>
      </w:r>
      <w:r>
        <w:t xml:space="preserve">Morgenstern C, Cori A. Disentangling mechanistic and observational overdispersion effects to infer superspreading from aggregated epidemic incidence. In preparation. 2025.</w:t>
      </w:r>
      <w:r>
        <w:t xml:space="preserve"> </w:t>
      </w:r>
    </w:p>
    <w:bookmarkEnd w:id="99"/>
    <w:bookmarkStart w:id="101" w:name="ref-Mathematica2024"/>
    <w:p>
      <w:pPr>
        <w:pStyle w:val="Bibliography"/>
      </w:pPr>
      <w:r>
        <w:t xml:space="preserve">4.</w:t>
      </w:r>
      <w:r>
        <w:t xml:space="preserve"> </w:t>
      </w:r>
      <w:r>
        <w:t xml:space="preserve">	</w:t>
      </w:r>
      <w:r>
        <w:t xml:space="preserve">Inc. WR. Mathematica,</w:t>
      </w:r>
      <w:r>
        <w:t xml:space="preserve"> </w:t>
      </w:r>
      <w:r>
        <w:t xml:space="preserve">V</w:t>
      </w:r>
      <w:r>
        <w:t xml:space="preserve">ersion 14.2 [Internet]. Available from:</w:t>
      </w:r>
      <w:r>
        <w:t xml:space="preserve"> </w:t>
      </w:r>
      <w:hyperlink r:id="rId100">
        <w:r>
          <w:rPr>
            <w:rStyle w:val="Hyperlink"/>
          </w:rPr>
          <w:t xml:space="preserve">https://www.wolfram.com/mathematica</w:t>
        </w:r>
      </w:hyperlink>
    </w:p>
    <w:bookmarkEnd w:id="101"/>
    <w:bookmarkStart w:id="103" w:name="ref-respinow_hub_2025"/>
    <w:p>
      <w:pPr>
        <w:pStyle w:val="Bibliography"/>
      </w:pPr>
      <w:r>
        <w:t xml:space="preserve">5.</w:t>
      </w:r>
      <w:r>
        <w:t xml:space="preserve"> </w:t>
      </w:r>
      <w:r>
        <w:t xml:space="preserve">	</w:t>
      </w:r>
      <w:r>
        <w:t xml:space="preserve">KIT Metrics Lab, Johannes Bracher, Melanie Schienle.</w:t>
      </w:r>
      <w:r>
        <w:t xml:space="preserve"> </w:t>
      </w:r>
      <w:r>
        <w:t xml:space="preserve">RESPINOW-Hub: Nowcasting and Short-term Forecasting Platform for Respiratory Diseases</w:t>
      </w:r>
      <w:r>
        <w:t xml:space="preserve"> </w:t>
      </w:r>
      <w:r>
        <w:t xml:space="preserve">[Internet]. Karlsruhe Institute of Technology; GitHub; 2025 [cited 2025 Jun 25]. Available from:</w:t>
      </w:r>
      <w:r>
        <w:t xml:space="preserve"> </w:t>
      </w:r>
      <w:hyperlink r:id="rId102">
        <w:r>
          <w:rPr>
            <w:rStyle w:val="Hyperlink"/>
          </w:rPr>
          <w:t xml:space="preserve">https://github.com/KITmetricslab/RESPINOW-Hub</w:t>
        </w:r>
      </w:hyperlink>
    </w:p>
    <w:bookmarkEnd w:id="103"/>
    <w:bookmarkStart w:id="105" w:name="ref-hospitalization_nowcast_hub_2025"/>
    <w:p>
      <w:pPr>
        <w:pStyle w:val="Bibliography"/>
      </w:pPr>
      <w:r>
        <w:t xml:space="preserve">6.</w:t>
      </w:r>
      <w:r>
        <w:t xml:space="preserve"> </w:t>
      </w:r>
      <w:r>
        <w:t xml:space="preserve">	</w:t>
      </w:r>
      <w:r>
        <w:t xml:space="preserve">KIT Metrics Lab, Johannes Bracher, Daniel Wolffram, Melanie Schienle.</w:t>
      </w:r>
      <w:r>
        <w:t xml:space="preserve"> </w:t>
      </w:r>
      <w:r>
        <w:t xml:space="preserve">Hospitalization Nowcast Hub</w:t>
      </w:r>
      <w:r>
        <w:t xml:space="preserve">: Collecting nowcasts of the 7-day hospitalization incidence in germany [Internet]. Karlsruhe Institute of Technology; GitHub; 2025 [cited 2025 Jun 25]. Available from:</w:t>
      </w:r>
      <w:r>
        <w:t xml:space="preserve"> </w:t>
      </w:r>
      <w:hyperlink r:id="rId104">
        <w:r>
          <w:rPr>
            <w:rStyle w:val="Hyperlink"/>
          </w:rPr>
          <w:t xml:space="preserve">https://github.com/KITmetricslab/hospitalization-nowcast-hub</w:t>
        </w:r>
      </w:hyperlink>
    </w:p>
    <w:bookmarkEnd w:id="105"/>
    <w:bookmarkEnd w:id="106"/>
    <w:bookmarkEnd w:id="107"/>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_rels/footnotes.xml.rels><?xml version="1.0" encoding="UTF-8"?><Relationships xmlns="http://schemas.openxmlformats.org/package/2006/relationships"><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2025-08-04T13:23:20Z</dcterms:created>
  <dcterms:modified xsi:type="dcterms:W3CDTF">2025-08-04T13:23:20Z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2025-07-16</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